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42E26" w14:textId="32C31FCD" w:rsidR="00447FAF" w:rsidRDefault="00865351">
      <w:pPr>
        <w:spacing w:after="288" w:line="276" w:lineRule="auto"/>
        <w:jc w:val="center"/>
        <w:rPr>
          <w:rFonts w:ascii="Arial" w:eastAsia="Arial" w:hAnsi="Arial" w:cs="Arial"/>
          <w:b/>
          <w:sz w:val="20"/>
          <w:szCs w:val="20"/>
        </w:rPr>
      </w:pPr>
      <w:r>
        <w:rPr>
          <w:rFonts w:ascii="Arial" w:eastAsia="Arial" w:hAnsi="Arial" w:cs="Arial"/>
          <w:b/>
          <w:sz w:val="20"/>
          <w:szCs w:val="20"/>
        </w:rPr>
        <w:t xml:space="preserve">ANEXO </w:t>
      </w:r>
      <w:r w:rsidR="00737A6A">
        <w:rPr>
          <w:rFonts w:ascii="Arial" w:eastAsia="Arial" w:hAnsi="Arial" w:cs="Arial"/>
          <w:b/>
          <w:sz w:val="20"/>
          <w:szCs w:val="20"/>
        </w:rPr>
        <w:t>II</w:t>
      </w:r>
    </w:p>
    <w:p w14:paraId="603B502E" w14:textId="77777777" w:rsidR="00447FAF" w:rsidRDefault="00865351">
      <w:pPr>
        <w:spacing w:after="288" w:line="276" w:lineRule="auto"/>
        <w:jc w:val="center"/>
        <w:rPr>
          <w:rFonts w:ascii="Arial" w:eastAsia="Arial" w:hAnsi="Arial" w:cs="Arial"/>
          <w:b/>
          <w:i/>
          <w:color w:val="FF0000"/>
          <w:sz w:val="20"/>
          <w:szCs w:val="20"/>
        </w:rPr>
      </w:pPr>
      <w:r>
        <w:rPr>
          <w:rFonts w:ascii="Arial" w:eastAsia="Arial" w:hAnsi="Arial" w:cs="Arial"/>
          <w:b/>
          <w:color w:val="000000"/>
          <w:sz w:val="20"/>
          <w:szCs w:val="20"/>
        </w:rPr>
        <w:t>MODELO DE TERMO DE CONTRATO</w:t>
      </w:r>
      <w:r>
        <w:rPr>
          <w:rFonts w:ascii="Arial" w:eastAsia="Arial" w:hAnsi="Arial" w:cs="Arial"/>
          <w:b/>
          <w:color w:val="000000"/>
          <w:sz w:val="20"/>
          <w:szCs w:val="20"/>
        </w:rPr>
        <w:br/>
        <w:t>Lei nº 14.133, de 1º de abril de 2021</w:t>
      </w:r>
      <w:r>
        <w:rPr>
          <w:rFonts w:ascii="Arial" w:eastAsia="Arial" w:hAnsi="Arial" w:cs="Arial"/>
          <w:b/>
          <w:color w:val="000000"/>
          <w:sz w:val="20"/>
          <w:szCs w:val="20"/>
        </w:rPr>
        <w:br/>
        <w:t>SERVIÇOS CONTÍNUOS COM REGIME DE DEDICAÇÃO EXCLUSIVA DE MÃO DE OBRA – LICITAÇÃO</w:t>
      </w:r>
    </w:p>
    <w:p w14:paraId="5E7FCF86" w14:textId="77777777" w:rsidR="00447FAF" w:rsidRDefault="00865351">
      <w:pPr>
        <w:spacing w:before="120" w:after="288" w:line="312" w:lineRule="auto"/>
        <w:ind w:firstLine="709"/>
        <w:jc w:val="center"/>
        <w:rPr>
          <w:rFonts w:ascii="Arial" w:eastAsia="Arial" w:hAnsi="Arial" w:cs="Arial"/>
          <w:b/>
          <w:sz w:val="20"/>
          <w:szCs w:val="20"/>
        </w:rPr>
      </w:pPr>
      <w:r>
        <w:rPr>
          <w:rFonts w:ascii="Arial" w:eastAsia="Arial" w:hAnsi="Arial" w:cs="Arial"/>
          <w:b/>
          <w:sz w:val="20"/>
          <w:szCs w:val="20"/>
        </w:rPr>
        <w:t>UNIVERSIDADE FEDERAL DO OESTE DA BAHIA</w:t>
      </w:r>
    </w:p>
    <w:p w14:paraId="68492736" w14:textId="77777777" w:rsidR="00447FAF" w:rsidRDefault="00865351">
      <w:pPr>
        <w:spacing w:before="120" w:after="288" w:line="312" w:lineRule="auto"/>
        <w:ind w:firstLine="709"/>
        <w:jc w:val="center"/>
        <w:rPr>
          <w:rFonts w:ascii="Arial" w:eastAsia="Arial" w:hAnsi="Arial" w:cs="Arial"/>
          <w:sz w:val="20"/>
          <w:szCs w:val="20"/>
        </w:rPr>
      </w:pPr>
      <w:r>
        <w:rPr>
          <w:rFonts w:ascii="Arial" w:eastAsia="Arial" w:hAnsi="Arial" w:cs="Arial"/>
          <w:sz w:val="20"/>
          <w:szCs w:val="20"/>
        </w:rPr>
        <w:t>(Processo Administrativo n° 23520.008734/2024-49)</w:t>
      </w:r>
    </w:p>
    <w:p w14:paraId="59723329" w14:textId="77777777" w:rsidR="00447FAF" w:rsidRDefault="00865351">
      <w:pPr>
        <w:pBdr>
          <w:top w:val="nil"/>
          <w:left w:val="nil"/>
          <w:bottom w:val="nil"/>
          <w:right w:val="nil"/>
          <w:between w:val="nil"/>
        </w:pBdr>
        <w:spacing w:before="480" w:after="288" w:line="312" w:lineRule="auto"/>
        <w:ind w:left="4253" w:right="-170"/>
        <w:jc w:val="both"/>
        <w:rPr>
          <w:rFonts w:ascii="Arial" w:eastAsia="Arial" w:hAnsi="Arial" w:cs="Arial"/>
          <w:sz w:val="20"/>
          <w:szCs w:val="20"/>
        </w:rPr>
      </w:pPr>
      <w:r>
        <w:rPr>
          <w:rFonts w:ascii="Arial" w:eastAsia="Arial" w:hAnsi="Arial" w:cs="Arial"/>
          <w:sz w:val="20"/>
          <w:szCs w:val="20"/>
        </w:rPr>
        <w:t>CONTRATO ADMINISTRATIVO Nº ........</w:t>
      </w:r>
      <w:proofErr w:type="gramStart"/>
      <w:r>
        <w:rPr>
          <w:rFonts w:ascii="Arial" w:eastAsia="Arial" w:hAnsi="Arial" w:cs="Arial"/>
          <w:sz w:val="20"/>
          <w:szCs w:val="20"/>
        </w:rPr>
        <w:t>/....</w:t>
      </w:r>
      <w:proofErr w:type="gramEnd"/>
      <w:r>
        <w:rPr>
          <w:rFonts w:ascii="Arial" w:eastAsia="Arial" w:hAnsi="Arial" w:cs="Arial"/>
          <w:sz w:val="20"/>
          <w:szCs w:val="20"/>
        </w:rPr>
        <w:t xml:space="preserve">, QUE FAZEM ENTRE SI A UNIÃO, POR INTERMÉDIO DA UNIVERSIDADE FEDERAL DO OESTE DA BAHIA E ............................................................. </w:t>
      </w:r>
    </w:p>
    <w:p w14:paraId="0D217EFE" w14:textId="238341FF" w:rsidR="00447FAF" w:rsidRDefault="00865351">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A UNIVERSIDADE FEDERAL DO OESTE DA BAHIA, com sede na Rua Profes</w:t>
      </w:r>
      <w:r>
        <w:rPr>
          <w:rFonts w:ascii="Arial" w:eastAsia="Arial" w:hAnsi="Arial" w:cs="Arial"/>
          <w:sz w:val="20"/>
          <w:szCs w:val="20"/>
        </w:rPr>
        <w:t xml:space="preserve">sor José Seabra de Lemos, 316, Recanto dos Pássaros, CEP 47.808-021, na cidade de Barreiras/BA, inscrita no CNPJ sob o nº 18.641.263/0001-45, neste ato representada pelo Magnífico Reitor Jacques Antônio de Miranda, </w:t>
      </w:r>
      <w:proofErr w:type="gramStart"/>
      <w:r>
        <w:rPr>
          <w:rFonts w:ascii="Arial" w:eastAsia="Arial" w:hAnsi="Arial" w:cs="Arial"/>
          <w:sz w:val="20"/>
          <w:szCs w:val="20"/>
        </w:rPr>
        <w:t>nomeado</w:t>
      </w:r>
      <w:proofErr w:type="gramEnd"/>
      <w:r>
        <w:rPr>
          <w:rFonts w:ascii="Arial" w:eastAsia="Arial" w:hAnsi="Arial" w:cs="Arial"/>
          <w:sz w:val="20"/>
          <w:szCs w:val="20"/>
        </w:rPr>
        <w:t xml:space="preserve"> pelo Decreto de 17 de setembro de</w:t>
      </w:r>
      <w:r>
        <w:rPr>
          <w:rFonts w:ascii="Arial" w:eastAsia="Arial" w:hAnsi="Arial" w:cs="Arial"/>
          <w:sz w:val="20"/>
          <w:szCs w:val="20"/>
        </w:rPr>
        <w:t xml:space="preserve"> 2019, publicado no DOU de 18 de setembro de 2019 na seção 2, página 1, portador da matrícula funcional nº 1649375, doravante denominado CONTRATANTE, e o(a) .............................., inscrito(a) no CNPJ/MF sob o nº ............................, sedia</w:t>
      </w:r>
      <w:r>
        <w:rPr>
          <w:rFonts w:ascii="Arial" w:eastAsia="Arial" w:hAnsi="Arial" w:cs="Arial"/>
          <w:sz w:val="20"/>
          <w:szCs w:val="20"/>
        </w:rPr>
        <w:t xml:space="preserve">do(a) na ..................................., </w:t>
      </w:r>
      <w:proofErr w:type="spellStart"/>
      <w:r>
        <w:rPr>
          <w:rFonts w:ascii="Arial" w:eastAsia="Arial" w:hAnsi="Arial" w:cs="Arial"/>
          <w:sz w:val="20"/>
          <w:szCs w:val="20"/>
        </w:rPr>
        <w:t>em</w:t>
      </w:r>
      <w:proofErr w:type="spellEnd"/>
      <w:r>
        <w:rPr>
          <w:rFonts w:ascii="Arial" w:eastAsia="Arial" w:hAnsi="Arial" w:cs="Arial"/>
          <w:sz w:val="20"/>
          <w:szCs w:val="20"/>
        </w:rPr>
        <w:t xml:space="preserve"> ............................. </w:t>
      </w:r>
      <w:proofErr w:type="gramStart"/>
      <w:r>
        <w:rPr>
          <w:rFonts w:ascii="Arial" w:eastAsia="Arial" w:hAnsi="Arial" w:cs="Arial"/>
          <w:sz w:val="20"/>
          <w:szCs w:val="20"/>
        </w:rPr>
        <w:t>doravante</w:t>
      </w:r>
      <w:proofErr w:type="gramEnd"/>
      <w:r>
        <w:rPr>
          <w:rFonts w:ascii="Arial" w:eastAsia="Arial" w:hAnsi="Arial" w:cs="Arial"/>
          <w:sz w:val="20"/>
          <w:szCs w:val="20"/>
        </w:rPr>
        <w:t xml:space="preserve"> designado CONTRATADO, neste ato representado(a) por .................................. (</w:t>
      </w:r>
      <w:proofErr w:type="gramStart"/>
      <w:r>
        <w:rPr>
          <w:rFonts w:ascii="Arial" w:eastAsia="Arial" w:hAnsi="Arial" w:cs="Arial"/>
          <w:sz w:val="20"/>
          <w:szCs w:val="20"/>
        </w:rPr>
        <w:t>nome</w:t>
      </w:r>
      <w:proofErr w:type="gramEnd"/>
      <w:r>
        <w:rPr>
          <w:rFonts w:ascii="Arial" w:eastAsia="Arial" w:hAnsi="Arial" w:cs="Arial"/>
          <w:sz w:val="20"/>
          <w:szCs w:val="20"/>
        </w:rPr>
        <w:t xml:space="preserve"> e função no contratado), conforme atos constitutivos da empresa </w:t>
      </w:r>
      <w:r>
        <w:rPr>
          <w:rFonts w:ascii="Arial" w:eastAsia="Arial" w:hAnsi="Arial" w:cs="Arial"/>
          <w:b/>
          <w:sz w:val="20"/>
          <w:szCs w:val="20"/>
        </w:rPr>
        <w:t>OU</w:t>
      </w:r>
      <w:r>
        <w:rPr>
          <w:rFonts w:ascii="Arial" w:eastAsia="Arial" w:hAnsi="Arial" w:cs="Arial"/>
          <w:sz w:val="20"/>
          <w:szCs w:val="20"/>
        </w:rPr>
        <w:t xml:space="preserve"> procura</w:t>
      </w:r>
      <w:r>
        <w:rPr>
          <w:rFonts w:ascii="Arial" w:eastAsia="Arial" w:hAnsi="Arial" w:cs="Arial"/>
          <w:sz w:val="20"/>
          <w:szCs w:val="20"/>
        </w:rPr>
        <w:t>ção apresentada nos autos, tendo em vista o que consta no Processo nº .............................. e em observância às disposições da Lei nº 14.133, de 1º de abril de 2021, e demais legislação aplicável, resolvem celebrar o presente Termo de Contrato, de</w:t>
      </w:r>
      <w:r>
        <w:rPr>
          <w:rFonts w:ascii="Arial" w:eastAsia="Arial" w:hAnsi="Arial" w:cs="Arial"/>
          <w:sz w:val="20"/>
          <w:szCs w:val="20"/>
        </w:rPr>
        <w:t xml:space="preserve">corrente do </w:t>
      </w:r>
      <w:r w:rsidRPr="00227E1E">
        <w:rPr>
          <w:rFonts w:ascii="Arial" w:eastAsia="Arial" w:hAnsi="Arial" w:cs="Arial"/>
          <w:b/>
          <w:sz w:val="20"/>
          <w:szCs w:val="20"/>
        </w:rPr>
        <w:t>Pregão Eletrônico n</w:t>
      </w:r>
      <w:r w:rsidR="00227E1E" w:rsidRPr="00227E1E">
        <w:rPr>
          <w:rFonts w:ascii="Arial" w:eastAsia="Arial" w:hAnsi="Arial" w:cs="Arial"/>
          <w:b/>
          <w:sz w:val="20"/>
          <w:szCs w:val="20"/>
        </w:rPr>
        <w:t>º</w:t>
      </w:r>
      <w:r w:rsidRPr="00227E1E">
        <w:rPr>
          <w:rFonts w:ascii="Arial" w:eastAsia="Arial" w:hAnsi="Arial" w:cs="Arial"/>
          <w:b/>
          <w:sz w:val="20"/>
          <w:szCs w:val="20"/>
        </w:rPr>
        <w:t xml:space="preserve"> </w:t>
      </w:r>
      <w:r w:rsidR="00227E1E" w:rsidRPr="00227E1E">
        <w:rPr>
          <w:rFonts w:ascii="Arial" w:eastAsia="Arial" w:hAnsi="Arial" w:cs="Arial"/>
          <w:b/>
          <w:sz w:val="20"/>
          <w:szCs w:val="20"/>
        </w:rPr>
        <w:t>90022</w:t>
      </w:r>
      <w:r w:rsidRPr="00227E1E">
        <w:rPr>
          <w:rFonts w:ascii="Arial" w:eastAsia="Arial" w:hAnsi="Arial" w:cs="Arial"/>
          <w:b/>
          <w:sz w:val="20"/>
          <w:szCs w:val="20"/>
        </w:rPr>
        <w:t>/</w:t>
      </w:r>
      <w:r w:rsidR="00227E1E" w:rsidRPr="00227E1E">
        <w:rPr>
          <w:rFonts w:ascii="Arial" w:eastAsia="Arial" w:hAnsi="Arial" w:cs="Arial"/>
          <w:b/>
          <w:sz w:val="20"/>
          <w:szCs w:val="20"/>
        </w:rPr>
        <w:t>2024</w:t>
      </w:r>
      <w:r>
        <w:rPr>
          <w:rFonts w:ascii="Arial" w:eastAsia="Arial" w:hAnsi="Arial" w:cs="Arial"/>
          <w:sz w:val="20"/>
          <w:szCs w:val="20"/>
        </w:rPr>
        <w:t>, mediante as cláusulas e condições a seguir enunciadas.</w:t>
      </w:r>
    </w:p>
    <w:p w14:paraId="59119A9B"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sz w:val="20"/>
          <w:szCs w:val="20"/>
        </w:rPr>
        <w:t>CLÁUSULA PRIMEIRA – OBJETO (</w:t>
      </w:r>
      <w:hyperlink r:id="rId8" w:anchor="art92">
        <w:r>
          <w:rPr>
            <w:rFonts w:ascii="Arial" w:eastAsia="Arial" w:hAnsi="Arial" w:cs="Arial"/>
            <w:b/>
            <w:sz w:val="20"/>
            <w:szCs w:val="20"/>
            <w:u w:val="single"/>
          </w:rPr>
          <w:t>art. 92, I e II</w:t>
        </w:r>
      </w:hyperlink>
      <w:r>
        <w:rPr>
          <w:rFonts w:ascii="Arial" w:eastAsia="Arial" w:hAnsi="Arial" w:cs="Arial"/>
          <w:b/>
          <w:sz w:val="20"/>
          <w:szCs w:val="20"/>
        </w:rPr>
        <w:t>)</w:t>
      </w:r>
    </w:p>
    <w:p w14:paraId="13651F5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 objeto do </w:t>
      </w:r>
      <w:r>
        <w:rPr>
          <w:rFonts w:ascii="Arial" w:eastAsia="Arial" w:hAnsi="Arial" w:cs="Arial"/>
          <w:sz w:val="20"/>
          <w:szCs w:val="20"/>
        </w:rPr>
        <w:t>presente instrumento é a contratação de serviços contínuos de motorista (Categoria D ou E), para condução de veículos oficiais e/ou a serviço da Universidade Federal do Oeste da Bahia - UFOB, a serem executados com regime de dedicação exclusiva de mão de o</w:t>
      </w:r>
      <w:r>
        <w:rPr>
          <w:rFonts w:ascii="Arial" w:eastAsia="Arial" w:hAnsi="Arial" w:cs="Arial"/>
          <w:sz w:val="20"/>
          <w:szCs w:val="20"/>
        </w:rPr>
        <w:t>bra, nas condições estabelecidas no Termo de Referência.</w:t>
      </w:r>
    </w:p>
    <w:p w14:paraId="296F8606"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Objeto da contratação:</w:t>
      </w:r>
    </w:p>
    <w:tbl>
      <w:tblPr>
        <w:tblStyle w:val="a1"/>
        <w:tblW w:w="9990" w:type="dxa"/>
        <w:tblInd w:w="-147" w:type="dxa"/>
        <w:tblLayout w:type="fixed"/>
        <w:tblLook w:val="0400" w:firstRow="0" w:lastRow="0" w:firstColumn="0" w:lastColumn="0" w:noHBand="0" w:noVBand="1"/>
      </w:tblPr>
      <w:tblGrid>
        <w:gridCol w:w="735"/>
        <w:gridCol w:w="3105"/>
        <w:gridCol w:w="1065"/>
        <w:gridCol w:w="1170"/>
        <w:gridCol w:w="1590"/>
        <w:gridCol w:w="1305"/>
        <w:gridCol w:w="1020"/>
      </w:tblGrid>
      <w:tr w:rsidR="00447FAF" w14:paraId="79DDB47C" w14:textId="77777777">
        <w:tc>
          <w:tcPr>
            <w:tcW w:w="735" w:type="dxa"/>
            <w:tcBorders>
              <w:top w:val="single" w:sz="4" w:space="0" w:color="000000"/>
              <w:left w:val="single" w:sz="4" w:space="0" w:color="000000"/>
              <w:bottom w:val="single" w:sz="4" w:space="0" w:color="000000"/>
              <w:right w:val="single" w:sz="4" w:space="0" w:color="000000"/>
            </w:tcBorders>
          </w:tcPr>
          <w:p w14:paraId="367569F9" w14:textId="77777777" w:rsidR="00447FAF" w:rsidRDefault="00865351">
            <w:pPr>
              <w:widowControl w:val="0"/>
              <w:spacing w:before="120" w:after="288" w:line="276" w:lineRule="auto"/>
              <w:jc w:val="center"/>
              <w:rPr>
                <w:rFonts w:ascii="Arial" w:eastAsia="Arial" w:hAnsi="Arial" w:cs="Arial"/>
                <w:b/>
                <w:sz w:val="20"/>
                <w:szCs w:val="20"/>
              </w:rPr>
            </w:pPr>
            <w:r>
              <w:rPr>
                <w:rFonts w:ascii="Arial" w:eastAsia="Arial" w:hAnsi="Arial" w:cs="Arial"/>
                <w:b/>
                <w:sz w:val="20"/>
                <w:szCs w:val="20"/>
              </w:rPr>
              <w:t>ITEM</w:t>
            </w:r>
          </w:p>
          <w:p w14:paraId="516F4E79" w14:textId="77777777" w:rsidR="00447FAF" w:rsidRDefault="00447FAF">
            <w:pPr>
              <w:widowControl w:val="0"/>
              <w:spacing w:before="120" w:after="288" w:line="276" w:lineRule="auto"/>
              <w:ind w:firstLine="709"/>
              <w:jc w:val="center"/>
              <w:rPr>
                <w:rFonts w:ascii="Arial" w:eastAsia="Arial" w:hAnsi="Arial" w:cs="Arial"/>
                <w:b/>
                <w:sz w:val="20"/>
                <w:szCs w:val="20"/>
              </w:rPr>
            </w:pPr>
          </w:p>
        </w:tc>
        <w:tc>
          <w:tcPr>
            <w:tcW w:w="3105" w:type="dxa"/>
            <w:tcBorders>
              <w:top w:val="single" w:sz="4" w:space="0" w:color="000000"/>
              <w:left w:val="single" w:sz="4" w:space="0" w:color="000000"/>
              <w:bottom w:val="single" w:sz="4" w:space="0" w:color="000000"/>
              <w:right w:val="single" w:sz="4" w:space="0" w:color="000000"/>
            </w:tcBorders>
          </w:tcPr>
          <w:p w14:paraId="362249B4" w14:textId="77777777" w:rsidR="00447FAF" w:rsidRDefault="00865351">
            <w:pPr>
              <w:widowControl w:val="0"/>
              <w:spacing w:before="120" w:after="288" w:line="276" w:lineRule="auto"/>
              <w:jc w:val="center"/>
              <w:rPr>
                <w:rFonts w:ascii="Arial" w:eastAsia="Arial" w:hAnsi="Arial" w:cs="Arial"/>
                <w:sz w:val="20"/>
                <w:szCs w:val="20"/>
              </w:rPr>
            </w:pPr>
            <w:r>
              <w:rPr>
                <w:rFonts w:ascii="Arial" w:eastAsia="Arial" w:hAnsi="Arial" w:cs="Arial"/>
                <w:b/>
                <w:sz w:val="20"/>
                <w:szCs w:val="20"/>
              </w:rPr>
              <w:t>ESPECIFICAÇÃO</w:t>
            </w:r>
          </w:p>
        </w:tc>
        <w:tc>
          <w:tcPr>
            <w:tcW w:w="1065" w:type="dxa"/>
            <w:tcBorders>
              <w:top w:val="single" w:sz="4" w:space="0" w:color="000000"/>
              <w:left w:val="single" w:sz="4" w:space="0" w:color="000000"/>
              <w:bottom w:val="single" w:sz="4" w:space="0" w:color="000000"/>
              <w:right w:val="single" w:sz="4" w:space="0" w:color="000000"/>
            </w:tcBorders>
          </w:tcPr>
          <w:p w14:paraId="5C725EBF" w14:textId="77777777" w:rsidR="00447FAF" w:rsidRDefault="00865351">
            <w:pPr>
              <w:widowControl w:val="0"/>
              <w:spacing w:before="120" w:after="288" w:line="276" w:lineRule="auto"/>
              <w:jc w:val="center"/>
              <w:rPr>
                <w:rFonts w:ascii="Arial" w:eastAsia="Arial" w:hAnsi="Arial" w:cs="Arial"/>
                <w:sz w:val="20"/>
                <w:szCs w:val="20"/>
              </w:rPr>
            </w:pPr>
            <w:r>
              <w:rPr>
                <w:rFonts w:ascii="Arial" w:eastAsia="Arial" w:hAnsi="Arial" w:cs="Arial"/>
                <w:b/>
                <w:sz w:val="20"/>
                <w:szCs w:val="20"/>
              </w:rPr>
              <w:t>CATSER</w:t>
            </w:r>
          </w:p>
        </w:tc>
        <w:tc>
          <w:tcPr>
            <w:tcW w:w="1170" w:type="dxa"/>
            <w:tcBorders>
              <w:top w:val="single" w:sz="4" w:space="0" w:color="000000"/>
              <w:left w:val="single" w:sz="4" w:space="0" w:color="000000"/>
              <w:bottom w:val="single" w:sz="4" w:space="0" w:color="000000"/>
              <w:right w:val="single" w:sz="4" w:space="0" w:color="000000"/>
            </w:tcBorders>
          </w:tcPr>
          <w:p w14:paraId="2AA9B5DB" w14:textId="77777777" w:rsidR="00447FAF" w:rsidRDefault="00865351">
            <w:pPr>
              <w:widowControl w:val="0"/>
              <w:spacing w:before="120" w:after="288" w:line="276" w:lineRule="auto"/>
              <w:jc w:val="center"/>
              <w:rPr>
                <w:rFonts w:ascii="Arial" w:eastAsia="Arial" w:hAnsi="Arial" w:cs="Arial"/>
                <w:sz w:val="20"/>
                <w:szCs w:val="20"/>
              </w:rPr>
            </w:pPr>
            <w:r>
              <w:rPr>
                <w:rFonts w:ascii="Arial" w:eastAsia="Arial" w:hAnsi="Arial" w:cs="Arial"/>
                <w:b/>
                <w:sz w:val="20"/>
                <w:szCs w:val="20"/>
              </w:rPr>
              <w:t>UNIDADE DE MEDIDA</w:t>
            </w:r>
          </w:p>
        </w:tc>
        <w:tc>
          <w:tcPr>
            <w:tcW w:w="1590" w:type="dxa"/>
            <w:tcBorders>
              <w:top w:val="single" w:sz="4" w:space="0" w:color="000000"/>
              <w:left w:val="single" w:sz="4" w:space="0" w:color="000000"/>
              <w:bottom w:val="single" w:sz="4" w:space="0" w:color="000000"/>
              <w:right w:val="single" w:sz="4" w:space="0" w:color="000000"/>
            </w:tcBorders>
          </w:tcPr>
          <w:p w14:paraId="4BB25EAF" w14:textId="77777777" w:rsidR="00447FAF" w:rsidRDefault="00865351">
            <w:pPr>
              <w:widowControl w:val="0"/>
              <w:spacing w:before="120" w:after="288" w:line="276" w:lineRule="auto"/>
              <w:jc w:val="center"/>
              <w:rPr>
                <w:rFonts w:ascii="Arial" w:eastAsia="Arial" w:hAnsi="Arial" w:cs="Arial"/>
                <w:b/>
                <w:sz w:val="20"/>
                <w:szCs w:val="20"/>
              </w:rPr>
            </w:pPr>
            <w:r>
              <w:rPr>
                <w:rFonts w:ascii="Arial" w:eastAsia="Arial" w:hAnsi="Arial" w:cs="Arial"/>
                <w:b/>
                <w:sz w:val="20"/>
                <w:szCs w:val="20"/>
              </w:rPr>
              <w:t>QUANTIDADE</w:t>
            </w:r>
          </w:p>
        </w:tc>
        <w:tc>
          <w:tcPr>
            <w:tcW w:w="1305" w:type="dxa"/>
            <w:tcBorders>
              <w:top w:val="single" w:sz="4" w:space="0" w:color="000000"/>
              <w:left w:val="single" w:sz="4" w:space="0" w:color="000000"/>
              <w:bottom w:val="single" w:sz="4" w:space="0" w:color="000000"/>
              <w:right w:val="single" w:sz="4" w:space="0" w:color="000000"/>
            </w:tcBorders>
          </w:tcPr>
          <w:p w14:paraId="14E74E65" w14:textId="77777777" w:rsidR="00447FAF" w:rsidRDefault="00865351">
            <w:pPr>
              <w:widowControl w:val="0"/>
              <w:spacing w:before="120" w:after="288" w:line="276" w:lineRule="auto"/>
              <w:jc w:val="center"/>
              <w:rPr>
                <w:rFonts w:ascii="Arial" w:eastAsia="Arial" w:hAnsi="Arial" w:cs="Arial"/>
                <w:b/>
                <w:sz w:val="20"/>
                <w:szCs w:val="20"/>
              </w:rPr>
            </w:pPr>
            <w:r>
              <w:rPr>
                <w:rFonts w:ascii="Arial" w:eastAsia="Arial" w:hAnsi="Arial" w:cs="Arial"/>
                <w:b/>
                <w:sz w:val="20"/>
                <w:szCs w:val="20"/>
              </w:rPr>
              <w:t>VALOR UNITÁRIO</w:t>
            </w:r>
          </w:p>
        </w:tc>
        <w:tc>
          <w:tcPr>
            <w:tcW w:w="1020" w:type="dxa"/>
            <w:tcBorders>
              <w:top w:val="single" w:sz="4" w:space="0" w:color="000000"/>
              <w:left w:val="single" w:sz="4" w:space="0" w:color="000000"/>
              <w:bottom w:val="single" w:sz="4" w:space="0" w:color="000000"/>
              <w:right w:val="single" w:sz="4" w:space="0" w:color="000000"/>
            </w:tcBorders>
          </w:tcPr>
          <w:p w14:paraId="08B744F9" w14:textId="77777777" w:rsidR="00447FAF" w:rsidRDefault="00865351">
            <w:pPr>
              <w:widowControl w:val="0"/>
              <w:spacing w:before="120" w:after="288" w:line="276" w:lineRule="auto"/>
              <w:jc w:val="center"/>
              <w:rPr>
                <w:rFonts w:ascii="Arial" w:eastAsia="Arial" w:hAnsi="Arial" w:cs="Arial"/>
                <w:b/>
                <w:sz w:val="20"/>
                <w:szCs w:val="20"/>
              </w:rPr>
            </w:pPr>
            <w:r>
              <w:rPr>
                <w:rFonts w:ascii="Arial" w:eastAsia="Arial" w:hAnsi="Arial" w:cs="Arial"/>
                <w:b/>
                <w:sz w:val="20"/>
                <w:szCs w:val="20"/>
              </w:rPr>
              <w:t>VALOR TOTAL</w:t>
            </w:r>
          </w:p>
        </w:tc>
      </w:tr>
      <w:tr w:rsidR="00447FAF" w14:paraId="2812CF09" w14:textId="77777777">
        <w:tc>
          <w:tcPr>
            <w:tcW w:w="735" w:type="dxa"/>
            <w:tcBorders>
              <w:top w:val="single" w:sz="4" w:space="0" w:color="000000"/>
              <w:left w:val="single" w:sz="4" w:space="0" w:color="000000"/>
              <w:bottom w:val="single" w:sz="4" w:space="0" w:color="000000"/>
              <w:right w:val="single" w:sz="4" w:space="0" w:color="000000"/>
            </w:tcBorders>
          </w:tcPr>
          <w:p w14:paraId="4961E372" w14:textId="77777777" w:rsidR="00447FAF" w:rsidRDefault="00865351">
            <w:pPr>
              <w:widowControl w:val="0"/>
              <w:spacing w:before="120" w:after="288" w:line="312" w:lineRule="auto"/>
              <w:rPr>
                <w:rFonts w:ascii="Arial" w:eastAsia="Arial" w:hAnsi="Arial" w:cs="Arial"/>
                <w:b/>
                <w:sz w:val="20"/>
                <w:szCs w:val="20"/>
              </w:rPr>
            </w:pPr>
            <w:r>
              <w:rPr>
                <w:rFonts w:ascii="Arial" w:eastAsia="Arial" w:hAnsi="Arial" w:cs="Arial"/>
                <w:b/>
                <w:sz w:val="20"/>
                <w:szCs w:val="20"/>
              </w:rPr>
              <w:t>1</w:t>
            </w:r>
          </w:p>
        </w:tc>
        <w:tc>
          <w:tcPr>
            <w:tcW w:w="3105" w:type="dxa"/>
            <w:tcBorders>
              <w:top w:val="single" w:sz="4" w:space="0" w:color="000000"/>
              <w:left w:val="single" w:sz="4" w:space="0" w:color="000000"/>
              <w:bottom w:val="single" w:sz="4" w:space="0" w:color="000000"/>
              <w:right w:val="single" w:sz="4" w:space="0" w:color="000000"/>
            </w:tcBorders>
            <w:vAlign w:val="center"/>
          </w:tcPr>
          <w:p w14:paraId="4B5F638E"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 xml:space="preserve">Prestação de serviços de motorista nível 1 (veículos leves, caminhões e micro-ônibus), CNH D ou E, com salário equivalente na </w:t>
            </w:r>
            <w:r>
              <w:rPr>
                <w:rFonts w:ascii="Arial" w:eastAsia="Arial" w:hAnsi="Arial" w:cs="Arial"/>
                <w:sz w:val="20"/>
                <w:szCs w:val="20"/>
              </w:rPr>
              <w:lastRenderedPageBreak/>
              <w:t>Convenção Coletiva SINATRAN/SINFRETE/ STTROBA 2024</w:t>
            </w:r>
          </w:p>
        </w:tc>
        <w:tc>
          <w:tcPr>
            <w:tcW w:w="1065" w:type="dxa"/>
            <w:tcBorders>
              <w:top w:val="single" w:sz="4" w:space="0" w:color="000000"/>
              <w:left w:val="single" w:sz="4" w:space="0" w:color="000000"/>
              <w:bottom w:val="single" w:sz="4" w:space="0" w:color="000000"/>
              <w:right w:val="single" w:sz="4" w:space="0" w:color="000000"/>
            </w:tcBorders>
            <w:vAlign w:val="center"/>
          </w:tcPr>
          <w:p w14:paraId="257B21F1"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lastRenderedPageBreak/>
              <w:t>15008</w:t>
            </w:r>
          </w:p>
        </w:tc>
        <w:tc>
          <w:tcPr>
            <w:tcW w:w="1170" w:type="dxa"/>
            <w:tcBorders>
              <w:top w:val="single" w:sz="4" w:space="0" w:color="000000"/>
              <w:left w:val="single" w:sz="4" w:space="0" w:color="000000"/>
              <w:bottom w:val="single" w:sz="4" w:space="0" w:color="000000"/>
              <w:right w:val="single" w:sz="4" w:space="0" w:color="000000"/>
            </w:tcBorders>
            <w:vAlign w:val="center"/>
          </w:tcPr>
          <w:p w14:paraId="7FD1EED7"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POSTO</w:t>
            </w:r>
          </w:p>
        </w:tc>
        <w:tc>
          <w:tcPr>
            <w:tcW w:w="1590" w:type="dxa"/>
            <w:tcBorders>
              <w:top w:val="single" w:sz="4" w:space="0" w:color="000000"/>
              <w:left w:val="single" w:sz="4" w:space="0" w:color="000000"/>
              <w:bottom w:val="single" w:sz="4" w:space="0" w:color="000000"/>
              <w:right w:val="single" w:sz="4" w:space="0" w:color="000000"/>
            </w:tcBorders>
            <w:vAlign w:val="center"/>
          </w:tcPr>
          <w:p w14:paraId="33C4BB92"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17</w:t>
            </w:r>
          </w:p>
        </w:tc>
        <w:tc>
          <w:tcPr>
            <w:tcW w:w="1305" w:type="dxa"/>
            <w:tcBorders>
              <w:top w:val="single" w:sz="4" w:space="0" w:color="000000"/>
              <w:left w:val="single" w:sz="4" w:space="0" w:color="000000"/>
              <w:bottom w:val="single" w:sz="4" w:space="0" w:color="000000"/>
              <w:right w:val="single" w:sz="4" w:space="0" w:color="000000"/>
            </w:tcBorders>
          </w:tcPr>
          <w:p w14:paraId="1D5CA77C" w14:textId="77777777" w:rsidR="00447FAF" w:rsidRDefault="00447FAF">
            <w:pPr>
              <w:widowControl w:val="0"/>
              <w:spacing w:before="120" w:after="288" w:line="276" w:lineRule="auto"/>
              <w:ind w:firstLine="709"/>
              <w:jc w:val="center"/>
              <w:rPr>
                <w:rFonts w:ascii="Arial" w:eastAsia="Arial" w:hAnsi="Arial" w:cs="Arial"/>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0691F28D" w14:textId="77777777" w:rsidR="00447FAF" w:rsidRDefault="00447FAF">
            <w:pPr>
              <w:widowControl w:val="0"/>
              <w:spacing w:before="120" w:after="288" w:line="276" w:lineRule="auto"/>
              <w:ind w:firstLine="709"/>
              <w:jc w:val="center"/>
              <w:rPr>
                <w:rFonts w:ascii="Arial" w:eastAsia="Arial" w:hAnsi="Arial" w:cs="Arial"/>
                <w:sz w:val="20"/>
                <w:szCs w:val="20"/>
              </w:rPr>
            </w:pPr>
          </w:p>
        </w:tc>
      </w:tr>
      <w:tr w:rsidR="00447FAF" w14:paraId="61BF17B8" w14:textId="77777777">
        <w:tc>
          <w:tcPr>
            <w:tcW w:w="735" w:type="dxa"/>
            <w:tcBorders>
              <w:top w:val="single" w:sz="4" w:space="0" w:color="000000"/>
              <w:left w:val="single" w:sz="4" w:space="0" w:color="000000"/>
              <w:bottom w:val="single" w:sz="4" w:space="0" w:color="000000"/>
              <w:right w:val="single" w:sz="4" w:space="0" w:color="000000"/>
            </w:tcBorders>
          </w:tcPr>
          <w:p w14:paraId="749D4E81" w14:textId="77777777" w:rsidR="00447FAF" w:rsidRDefault="00865351">
            <w:pPr>
              <w:widowControl w:val="0"/>
              <w:spacing w:before="120" w:after="288" w:line="312" w:lineRule="auto"/>
              <w:rPr>
                <w:rFonts w:ascii="Arial" w:eastAsia="Arial" w:hAnsi="Arial" w:cs="Arial"/>
                <w:b/>
                <w:sz w:val="20"/>
                <w:szCs w:val="20"/>
              </w:rPr>
            </w:pPr>
            <w:r>
              <w:rPr>
                <w:rFonts w:ascii="Arial" w:eastAsia="Arial" w:hAnsi="Arial" w:cs="Arial"/>
                <w:b/>
                <w:sz w:val="20"/>
                <w:szCs w:val="20"/>
              </w:rPr>
              <w:lastRenderedPageBreak/>
              <w:t>2</w:t>
            </w:r>
          </w:p>
        </w:tc>
        <w:tc>
          <w:tcPr>
            <w:tcW w:w="3105" w:type="dxa"/>
            <w:tcBorders>
              <w:top w:val="single" w:sz="4" w:space="0" w:color="000000"/>
              <w:left w:val="single" w:sz="4" w:space="0" w:color="000000"/>
              <w:bottom w:val="single" w:sz="4" w:space="0" w:color="000000"/>
              <w:right w:val="single" w:sz="4" w:space="0" w:color="000000"/>
            </w:tcBorders>
            <w:vAlign w:val="center"/>
          </w:tcPr>
          <w:p w14:paraId="51D99A95"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Prestação de serviços de motorista nível 2 (veículos leves,</w:t>
            </w:r>
            <w:r>
              <w:rPr>
                <w:rFonts w:ascii="Arial" w:eastAsia="Arial" w:hAnsi="Arial" w:cs="Arial"/>
                <w:sz w:val="20"/>
                <w:szCs w:val="20"/>
              </w:rPr>
              <w:t xml:space="preserve"> caminhões, micro-ônibus e ônibus). CNH D ou E, com salário equivalente na Convenção Coletiva SINATRAN / SINFRETE / STTROBA 2024</w:t>
            </w:r>
          </w:p>
        </w:tc>
        <w:tc>
          <w:tcPr>
            <w:tcW w:w="1065" w:type="dxa"/>
            <w:tcBorders>
              <w:top w:val="single" w:sz="4" w:space="0" w:color="000000"/>
              <w:left w:val="single" w:sz="4" w:space="0" w:color="000000"/>
              <w:bottom w:val="single" w:sz="4" w:space="0" w:color="000000"/>
              <w:right w:val="single" w:sz="4" w:space="0" w:color="000000"/>
            </w:tcBorders>
            <w:vAlign w:val="center"/>
          </w:tcPr>
          <w:p w14:paraId="240C1960"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15008</w:t>
            </w:r>
          </w:p>
        </w:tc>
        <w:tc>
          <w:tcPr>
            <w:tcW w:w="1170" w:type="dxa"/>
            <w:tcBorders>
              <w:top w:val="single" w:sz="4" w:space="0" w:color="000000"/>
              <w:left w:val="single" w:sz="4" w:space="0" w:color="000000"/>
              <w:bottom w:val="single" w:sz="4" w:space="0" w:color="000000"/>
              <w:right w:val="single" w:sz="4" w:space="0" w:color="000000"/>
            </w:tcBorders>
            <w:vAlign w:val="center"/>
          </w:tcPr>
          <w:p w14:paraId="7F364A25"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POSTO</w:t>
            </w:r>
          </w:p>
        </w:tc>
        <w:tc>
          <w:tcPr>
            <w:tcW w:w="1590" w:type="dxa"/>
            <w:tcBorders>
              <w:top w:val="single" w:sz="4" w:space="0" w:color="000000"/>
              <w:left w:val="single" w:sz="4" w:space="0" w:color="000000"/>
              <w:bottom w:val="single" w:sz="4" w:space="0" w:color="000000"/>
              <w:right w:val="single" w:sz="4" w:space="0" w:color="000000"/>
            </w:tcBorders>
            <w:vAlign w:val="center"/>
          </w:tcPr>
          <w:p w14:paraId="60C75836"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14</w:t>
            </w:r>
          </w:p>
        </w:tc>
        <w:tc>
          <w:tcPr>
            <w:tcW w:w="1305" w:type="dxa"/>
            <w:tcBorders>
              <w:top w:val="single" w:sz="4" w:space="0" w:color="000000"/>
              <w:left w:val="single" w:sz="4" w:space="0" w:color="000000"/>
              <w:bottom w:val="single" w:sz="4" w:space="0" w:color="000000"/>
              <w:right w:val="single" w:sz="4" w:space="0" w:color="000000"/>
            </w:tcBorders>
          </w:tcPr>
          <w:p w14:paraId="5A9009AD" w14:textId="77777777" w:rsidR="00447FAF" w:rsidRDefault="00447FAF">
            <w:pPr>
              <w:widowControl w:val="0"/>
              <w:spacing w:before="120" w:after="288" w:line="276" w:lineRule="auto"/>
              <w:ind w:firstLine="709"/>
              <w:jc w:val="center"/>
              <w:rPr>
                <w:rFonts w:ascii="Arial" w:eastAsia="Arial" w:hAnsi="Arial" w:cs="Arial"/>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62D00790" w14:textId="77777777" w:rsidR="00447FAF" w:rsidRDefault="00447FAF">
            <w:pPr>
              <w:widowControl w:val="0"/>
              <w:spacing w:before="120" w:after="288" w:line="276" w:lineRule="auto"/>
              <w:ind w:firstLine="709"/>
              <w:jc w:val="center"/>
              <w:rPr>
                <w:rFonts w:ascii="Arial" w:eastAsia="Arial" w:hAnsi="Arial" w:cs="Arial"/>
                <w:sz w:val="20"/>
                <w:szCs w:val="20"/>
              </w:rPr>
            </w:pPr>
          </w:p>
        </w:tc>
      </w:tr>
      <w:tr w:rsidR="00447FAF" w14:paraId="0402B5BF" w14:textId="77777777">
        <w:tc>
          <w:tcPr>
            <w:tcW w:w="735" w:type="dxa"/>
            <w:tcBorders>
              <w:top w:val="single" w:sz="4" w:space="0" w:color="000000"/>
              <w:left w:val="single" w:sz="4" w:space="0" w:color="000000"/>
              <w:bottom w:val="single" w:sz="4" w:space="0" w:color="000000"/>
              <w:right w:val="single" w:sz="4" w:space="0" w:color="000000"/>
            </w:tcBorders>
          </w:tcPr>
          <w:p w14:paraId="7AFDEA12" w14:textId="77777777" w:rsidR="00447FAF" w:rsidRDefault="00865351">
            <w:pPr>
              <w:widowControl w:val="0"/>
              <w:spacing w:before="120" w:after="288" w:line="312" w:lineRule="auto"/>
              <w:rPr>
                <w:rFonts w:ascii="Arial" w:eastAsia="Arial" w:hAnsi="Arial" w:cs="Arial"/>
                <w:b/>
                <w:sz w:val="20"/>
                <w:szCs w:val="20"/>
              </w:rPr>
            </w:pPr>
            <w:r>
              <w:rPr>
                <w:rFonts w:ascii="Arial" w:eastAsia="Arial" w:hAnsi="Arial" w:cs="Arial"/>
                <w:b/>
                <w:sz w:val="20"/>
                <w:szCs w:val="20"/>
              </w:rPr>
              <w:t>3</w:t>
            </w:r>
          </w:p>
        </w:tc>
        <w:tc>
          <w:tcPr>
            <w:tcW w:w="3105" w:type="dxa"/>
            <w:tcBorders>
              <w:top w:val="single" w:sz="4" w:space="0" w:color="000000"/>
              <w:left w:val="single" w:sz="4" w:space="0" w:color="000000"/>
              <w:bottom w:val="single" w:sz="4" w:space="0" w:color="000000"/>
              <w:right w:val="single" w:sz="4" w:space="0" w:color="000000"/>
            </w:tcBorders>
            <w:vAlign w:val="center"/>
          </w:tcPr>
          <w:p w14:paraId="7A09BAE2"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Prestação de serviços de motorista - Deslocamento em serviço fora do município sede do posto de trabalho</w:t>
            </w:r>
          </w:p>
        </w:tc>
        <w:tc>
          <w:tcPr>
            <w:tcW w:w="1065" w:type="dxa"/>
            <w:tcBorders>
              <w:top w:val="single" w:sz="4" w:space="0" w:color="000000"/>
              <w:left w:val="single" w:sz="4" w:space="0" w:color="000000"/>
              <w:bottom w:val="single" w:sz="4" w:space="0" w:color="000000"/>
              <w:right w:val="single" w:sz="4" w:space="0" w:color="000000"/>
            </w:tcBorders>
            <w:vAlign w:val="center"/>
          </w:tcPr>
          <w:p w14:paraId="6253642A"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15008</w:t>
            </w:r>
          </w:p>
        </w:tc>
        <w:tc>
          <w:tcPr>
            <w:tcW w:w="1170" w:type="dxa"/>
            <w:tcBorders>
              <w:top w:val="single" w:sz="4" w:space="0" w:color="000000"/>
              <w:left w:val="single" w:sz="4" w:space="0" w:color="000000"/>
              <w:bottom w:val="single" w:sz="4" w:space="0" w:color="000000"/>
              <w:right w:val="single" w:sz="4" w:space="0" w:color="000000"/>
            </w:tcBorders>
            <w:vAlign w:val="center"/>
          </w:tcPr>
          <w:p w14:paraId="34368709" w14:textId="77777777" w:rsidR="00447FAF" w:rsidRDefault="00865351">
            <w:pPr>
              <w:widowControl w:val="0"/>
              <w:spacing w:before="120" w:after="288" w:line="312" w:lineRule="auto"/>
              <w:jc w:val="center"/>
              <w:rPr>
                <w:rFonts w:ascii="Arial" w:eastAsia="Arial" w:hAnsi="Arial" w:cs="Arial"/>
                <w:sz w:val="18"/>
                <w:szCs w:val="18"/>
              </w:rPr>
            </w:pPr>
            <w:r>
              <w:rPr>
                <w:rFonts w:ascii="Arial" w:eastAsia="Arial" w:hAnsi="Arial" w:cs="Arial"/>
                <w:sz w:val="18"/>
                <w:szCs w:val="18"/>
              </w:rPr>
              <w:t>DESLOCAMENTO</w:t>
            </w:r>
          </w:p>
        </w:tc>
        <w:tc>
          <w:tcPr>
            <w:tcW w:w="1590" w:type="dxa"/>
            <w:tcBorders>
              <w:top w:val="single" w:sz="4" w:space="0" w:color="000000"/>
              <w:left w:val="single" w:sz="4" w:space="0" w:color="000000"/>
              <w:bottom w:val="single" w:sz="4" w:space="0" w:color="000000"/>
              <w:right w:val="single" w:sz="4" w:space="0" w:color="000000"/>
            </w:tcBorders>
            <w:vAlign w:val="center"/>
          </w:tcPr>
          <w:p w14:paraId="2AE72DB3"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1.200</w:t>
            </w:r>
          </w:p>
        </w:tc>
        <w:tc>
          <w:tcPr>
            <w:tcW w:w="1305" w:type="dxa"/>
            <w:tcBorders>
              <w:top w:val="single" w:sz="4" w:space="0" w:color="000000"/>
              <w:left w:val="single" w:sz="4" w:space="0" w:color="000000"/>
              <w:bottom w:val="single" w:sz="4" w:space="0" w:color="000000"/>
              <w:right w:val="single" w:sz="4" w:space="0" w:color="000000"/>
            </w:tcBorders>
          </w:tcPr>
          <w:p w14:paraId="01D1062C" w14:textId="77777777" w:rsidR="00447FAF" w:rsidRDefault="00447FAF">
            <w:pPr>
              <w:widowControl w:val="0"/>
              <w:spacing w:before="120" w:after="288" w:line="276" w:lineRule="auto"/>
              <w:ind w:firstLine="709"/>
              <w:jc w:val="center"/>
              <w:rPr>
                <w:rFonts w:ascii="Arial" w:eastAsia="Arial" w:hAnsi="Arial" w:cs="Arial"/>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4AE666CD" w14:textId="77777777" w:rsidR="00447FAF" w:rsidRDefault="00447FAF">
            <w:pPr>
              <w:widowControl w:val="0"/>
              <w:spacing w:before="120" w:after="288" w:line="276" w:lineRule="auto"/>
              <w:ind w:firstLine="709"/>
              <w:jc w:val="center"/>
              <w:rPr>
                <w:rFonts w:ascii="Arial" w:eastAsia="Arial" w:hAnsi="Arial" w:cs="Arial"/>
                <w:sz w:val="20"/>
                <w:szCs w:val="20"/>
              </w:rPr>
            </w:pPr>
          </w:p>
        </w:tc>
      </w:tr>
      <w:tr w:rsidR="00447FAF" w14:paraId="669C0E49" w14:textId="77777777">
        <w:tc>
          <w:tcPr>
            <w:tcW w:w="735" w:type="dxa"/>
            <w:tcBorders>
              <w:top w:val="single" w:sz="4" w:space="0" w:color="000000"/>
              <w:left w:val="single" w:sz="4" w:space="0" w:color="000000"/>
              <w:bottom w:val="single" w:sz="4" w:space="0" w:color="000000"/>
              <w:right w:val="single" w:sz="4" w:space="0" w:color="000000"/>
            </w:tcBorders>
          </w:tcPr>
          <w:p w14:paraId="770320BF" w14:textId="77777777" w:rsidR="00447FAF" w:rsidRDefault="00865351">
            <w:pPr>
              <w:widowControl w:val="0"/>
              <w:spacing w:before="120" w:after="288" w:line="312" w:lineRule="auto"/>
              <w:rPr>
                <w:rFonts w:ascii="Arial" w:eastAsia="Arial" w:hAnsi="Arial" w:cs="Arial"/>
                <w:b/>
                <w:sz w:val="20"/>
                <w:szCs w:val="20"/>
              </w:rPr>
            </w:pPr>
            <w:r>
              <w:rPr>
                <w:rFonts w:ascii="Arial" w:eastAsia="Arial" w:hAnsi="Arial" w:cs="Arial"/>
                <w:b/>
                <w:sz w:val="20"/>
                <w:szCs w:val="20"/>
              </w:rPr>
              <w:t>4</w:t>
            </w:r>
          </w:p>
        </w:tc>
        <w:tc>
          <w:tcPr>
            <w:tcW w:w="3105" w:type="dxa"/>
            <w:tcBorders>
              <w:top w:val="single" w:sz="4" w:space="0" w:color="000000"/>
              <w:left w:val="single" w:sz="4" w:space="0" w:color="000000"/>
              <w:bottom w:val="single" w:sz="4" w:space="0" w:color="000000"/>
              <w:right w:val="single" w:sz="4" w:space="0" w:color="000000"/>
            </w:tcBorders>
            <w:vAlign w:val="center"/>
          </w:tcPr>
          <w:p w14:paraId="4E0C40B6"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Prestação de serviços de motorista - Horas extras de 100% a serem pagas ao motorista nível 1, quando for o caso</w:t>
            </w:r>
          </w:p>
        </w:tc>
        <w:tc>
          <w:tcPr>
            <w:tcW w:w="1065" w:type="dxa"/>
            <w:tcBorders>
              <w:top w:val="single" w:sz="4" w:space="0" w:color="000000"/>
              <w:left w:val="single" w:sz="4" w:space="0" w:color="000000"/>
              <w:bottom w:val="single" w:sz="4" w:space="0" w:color="000000"/>
              <w:right w:val="single" w:sz="4" w:space="0" w:color="000000"/>
            </w:tcBorders>
            <w:vAlign w:val="center"/>
          </w:tcPr>
          <w:p w14:paraId="471B73BD"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15008</w:t>
            </w:r>
          </w:p>
        </w:tc>
        <w:tc>
          <w:tcPr>
            <w:tcW w:w="1170" w:type="dxa"/>
            <w:tcBorders>
              <w:top w:val="single" w:sz="4" w:space="0" w:color="000000"/>
              <w:left w:val="single" w:sz="4" w:space="0" w:color="000000"/>
              <w:bottom w:val="single" w:sz="4" w:space="0" w:color="000000"/>
              <w:right w:val="single" w:sz="4" w:space="0" w:color="000000"/>
            </w:tcBorders>
            <w:vAlign w:val="center"/>
          </w:tcPr>
          <w:p w14:paraId="0333E98A"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HORA</w:t>
            </w:r>
          </w:p>
        </w:tc>
        <w:tc>
          <w:tcPr>
            <w:tcW w:w="1590" w:type="dxa"/>
            <w:tcBorders>
              <w:top w:val="single" w:sz="4" w:space="0" w:color="000000"/>
              <w:left w:val="single" w:sz="4" w:space="0" w:color="000000"/>
              <w:bottom w:val="single" w:sz="4" w:space="0" w:color="000000"/>
              <w:right w:val="single" w:sz="4" w:space="0" w:color="000000"/>
            </w:tcBorders>
            <w:vAlign w:val="center"/>
          </w:tcPr>
          <w:p w14:paraId="7992F85E"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1.200</w:t>
            </w:r>
          </w:p>
        </w:tc>
        <w:tc>
          <w:tcPr>
            <w:tcW w:w="1305" w:type="dxa"/>
            <w:tcBorders>
              <w:top w:val="single" w:sz="4" w:space="0" w:color="000000"/>
              <w:left w:val="single" w:sz="4" w:space="0" w:color="000000"/>
              <w:bottom w:val="single" w:sz="4" w:space="0" w:color="000000"/>
              <w:right w:val="single" w:sz="4" w:space="0" w:color="000000"/>
            </w:tcBorders>
          </w:tcPr>
          <w:p w14:paraId="164F38EC" w14:textId="77777777" w:rsidR="00447FAF" w:rsidRDefault="00447FAF">
            <w:pPr>
              <w:widowControl w:val="0"/>
              <w:spacing w:before="120" w:after="288" w:line="276" w:lineRule="auto"/>
              <w:ind w:firstLine="709"/>
              <w:jc w:val="center"/>
              <w:rPr>
                <w:rFonts w:ascii="Arial" w:eastAsia="Arial" w:hAnsi="Arial" w:cs="Arial"/>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78476935" w14:textId="77777777" w:rsidR="00447FAF" w:rsidRDefault="00447FAF">
            <w:pPr>
              <w:widowControl w:val="0"/>
              <w:spacing w:before="120" w:after="288" w:line="276" w:lineRule="auto"/>
              <w:ind w:firstLine="709"/>
              <w:jc w:val="center"/>
              <w:rPr>
                <w:rFonts w:ascii="Arial" w:eastAsia="Arial" w:hAnsi="Arial" w:cs="Arial"/>
                <w:sz w:val="20"/>
                <w:szCs w:val="20"/>
              </w:rPr>
            </w:pPr>
          </w:p>
        </w:tc>
      </w:tr>
      <w:tr w:rsidR="00447FAF" w14:paraId="59661DE3" w14:textId="77777777">
        <w:tc>
          <w:tcPr>
            <w:tcW w:w="735" w:type="dxa"/>
            <w:tcBorders>
              <w:top w:val="single" w:sz="4" w:space="0" w:color="000000"/>
              <w:left w:val="single" w:sz="4" w:space="0" w:color="000000"/>
              <w:bottom w:val="single" w:sz="4" w:space="0" w:color="000000"/>
              <w:right w:val="single" w:sz="4" w:space="0" w:color="000000"/>
            </w:tcBorders>
          </w:tcPr>
          <w:p w14:paraId="0BDD066D" w14:textId="77777777" w:rsidR="00447FAF" w:rsidRDefault="00865351">
            <w:pPr>
              <w:widowControl w:val="0"/>
              <w:spacing w:before="120" w:after="288" w:line="312" w:lineRule="auto"/>
              <w:rPr>
                <w:rFonts w:ascii="Arial" w:eastAsia="Arial" w:hAnsi="Arial" w:cs="Arial"/>
                <w:b/>
                <w:sz w:val="20"/>
                <w:szCs w:val="20"/>
              </w:rPr>
            </w:pPr>
            <w:r>
              <w:rPr>
                <w:rFonts w:ascii="Arial" w:eastAsia="Arial" w:hAnsi="Arial" w:cs="Arial"/>
                <w:b/>
                <w:sz w:val="20"/>
                <w:szCs w:val="20"/>
              </w:rPr>
              <w:t>5</w:t>
            </w:r>
          </w:p>
        </w:tc>
        <w:tc>
          <w:tcPr>
            <w:tcW w:w="3105" w:type="dxa"/>
            <w:tcBorders>
              <w:top w:val="single" w:sz="4" w:space="0" w:color="000000"/>
              <w:left w:val="single" w:sz="4" w:space="0" w:color="000000"/>
              <w:bottom w:val="single" w:sz="4" w:space="0" w:color="000000"/>
              <w:right w:val="single" w:sz="4" w:space="0" w:color="000000"/>
            </w:tcBorders>
            <w:vAlign w:val="center"/>
          </w:tcPr>
          <w:p w14:paraId="394C3966"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 xml:space="preserve">Prestação de serviços de motorista - Horas extras de 100% a serem pagas ao motorista nível </w:t>
            </w:r>
            <w:r>
              <w:rPr>
                <w:rFonts w:ascii="Arial" w:eastAsia="Arial" w:hAnsi="Arial" w:cs="Arial"/>
                <w:sz w:val="20"/>
                <w:szCs w:val="20"/>
              </w:rPr>
              <w:t>2, quando for o caso</w:t>
            </w:r>
          </w:p>
        </w:tc>
        <w:tc>
          <w:tcPr>
            <w:tcW w:w="1065" w:type="dxa"/>
            <w:tcBorders>
              <w:top w:val="single" w:sz="4" w:space="0" w:color="000000"/>
              <w:left w:val="single" w:sz="4" w:space="0" w:color="000000"/>
              <w:bottom w:val="single" w:sz="4" w:space="0" w:color="000000"/>
              <w:right w:val="single" w:sz="4" w:space="0" w:color="000000"/>
            </w:tcBorders>
            <w:vAlign w:val="center"/>
          </w:tcPr>
          <w:p w14:paraId="3C42C191"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15008</w:t>
            </w:r>
          </w:p>
        </w:tc>
        <w:tc>
          <w:tcPr>
            <w:tcW w:w="1170" w:type="dxa"/>
            <w:tcBorders>
              <w:top w:val="single" w:sz="4" w:space="0" w:color="000000"/>
              <w:left w:val="single" w:sz="4" w:space="0" w:color="000000"/>
              <w:bottom w:val="single" w:sz="4" w:space="0" w:color="000000"/>
              <w:right w:val="single" w:sz="4" w:space="0" w:color="000000"/>
            </w:tcBorders>
            <w:vAlign w:val="center"/>
          </w:tcPr>
          <w:p w14:paraId="6808A466"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HORA</w:t>
            </w:r>
          </w:p>
        </w:tc>
        <w:tc>
          <w:tcPr>
            <w:tcW w:w="1590" w:type="dxa"/>
            <w:tcBorders>
              <w:top w:val="single" w:sz="4" w:space="0" w:color="000000"/>
              <w:left w:val="single" w:sz="4" w:space="0" w:color="000000"/>
              <w:bottom w:val="single" w:sz="4" w:space="0" w:color="000000"/>
              <w:right w:val="single" w:sz="4" w:space="0" w:color="000000"/>
            </w:tcBorders>
            <w:vAlign w:val="center"/>
          </w:tcPr>
          <w:p w14:paraId="2E97DD42" w14:textId="77777777" w:rsidR="00447FAF" w:rsidRDefault="00865351">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1.800</w:t>
            </w:r>
          </w:p>
        </w:tc>
        <w:tc>
          <w:tcPr>
            <w:tcW w:w="1305" w:type="dxa"/>
            <w:tcBorders>
              <w:top w:val="single" w:sz="4" w:space="0" w:color="000000"/>
              <w:left w:val="single" w:sz="4" w:space="0" w:color="000000"/>
              <w:bottom w:val="single" w:sz="4" w:space="0" w:color="000000"/>
              <w:right w:val="single" w:sz="4" w:space="0" w:color="000000"/>
            </w:tcBorders>
          </w:tcPr>
          <w:p w14:paraId="130FFEA7" w14:textId="77777777" w:rsidR="00447FAF" w:rsidRDefault="00447FAF">
            <w:pPr>
              <w:widowControl w:val="0"/>
              <w:spacing w:before="120" w:after="288" w:line="276" w:lineRule="auto"/>
              <w:ind w:firstLine="709"/>
              <w:jc w:val="center"/>
              <w:rPr>
                <w:rFonts w:ascii="Arial" w:eastAsia="Arial" w:hAnsi="Arial" w:cs="Arial"/>
                <w:sz w:val="20"/>
                <w:szCs w:val="20"/>
              </w:rPr>
            </w:pPr>
          </w:p>
        </w:tc>
        <w:tc>
          <w:tcPr>
            <w:tcW w:w="1020" w:type="dxa"/>
            <w:tcBorders>
              <w:top w:val="single" w:sz="4" w:space="0" w:color="000000"/>
              <w:left w:val="single" w:sz="4" w:space="0" w:color="000000"/>
              <w:bottom w:val="single" w:sz="4" w:space="0" w:color="000000"/>
              <w:right w:val="single" w:sz="4" w:space="0" w:color="000000"/>
            </w:tcBorders>
          </w:tcPr>
          <w:p w14:paraId="67A8FFB1" w14:textId="77777777" w:rsidR="00447FAF" w:rsidRDefault="00447FAF">
            <w:pPr>
              <w:widowControl w:val="0"/>
              <w:spacing w:before="120" w:after="288" w:line="276" w:lineRule="auto"/>
              <w:ind w:firstLine="709"/>
              <w:jc w:val="center"/>
              <w:rPr>
                <w:rFonts w:ascii="Arial" w:eastAsia="Arial" w:hAnsi="Arial" w:cs="Arial"/>
                <w:sz w:val="20"/>
                <w:szCs w:val="20"/>
              </w:rPr>
            </w:pPr>
          </w:p>
        </w:tc>
      </w:tr>
    </w:tbl>
    <w:p w14:paraId="3D957F9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Vinculam esta contratação, independentemente de transcrição:</w:t>
      </w:r>
    </w:p>
    <w:p w14:paraId="2B4C431C"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O Termo de Referência;</w:t>
      </w:r>
    </w:p>
    <w:p w14:paraId="27B743B1"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O Edital da Licitação;</w:t>
      </w:r>
    </w:p>
    <w:p w14:paraId="3CACB1D2"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A Proposta do contratado;</w:t>
      </w:r>
    </w:p>
    <w:p w14:paraId="482E9AEF"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Eventuais anexos dos documentos supracitados.</w:t>
      </w:r>
    </w:p>
    <w:p w14:paraId="3EFA8DE7"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sz w:val="20"/>
          <w:szCs w:val="20"/>
        </w:rPr>
        <w:t xml:space="preserve">CLÁUSULA SEGUNDA – VIGÊNCIA E </w:t>
      </w:r>
      <w:r>
        <w:rPr>
          <w:rFonts w:ascii="Arial" w:eastAsia="Arial" w:hAnsi="Arial" w:cs="Arial"/>
          <w:b/>
          <w:sz w:val="20"/>
          <w:szCs w:val="20"/>
        </w:rPr>
        <w:t>PRORROGAÇÃO</w:t>
      </w:r>
    </w:p>
    <w:p w14:paraId="2D22B0E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prazo de vigência da contratação é de 12 (doze) meses contados do(a) da assinatura do termo de Contrato,</w:t>
      </w:r>
      <w:r>
        <w:rPr>
          <w:rFonts w:ascii="Arial" w:eastAsia="Arial" w:hAnsi="Arial" w:cs="Arial"/>
          <w:i/>
          <w:sz w:val="20"/>
          <w:szCs w:val="20"/>
        </w:rPr>
        <w:t xml:space="preserve"> </w:t>
      </w:r>
      <w:r>
        <w:rPr>
          <w:rFonts w:ascii="Arial" w:eastAsia="Arial" w:hAnsi="Arial" w:cs="Arial"/>
          <w:sz w:val="20"/>
          <w:szCs w:val="20"/>
        </w:rPr>
        <w:t xml:space="preserve">prorrogável sucessivamente por até 10 anos, na forma dos </w:t>
      </w:r>
      <w:hyperlink r:id="rId9" w:anchor="art106">
        <w:r>
          <w:rPr>
            <w:rFonts w:ascii="Arial" w:eastAsia="Arial" w:hAnsi="Arial" w:cs="Arial"/>
            <w:sz w:val="20"/>
            <w:szCs w:val="20"/>
            <w:u w:val="single"/>
          </w:rPr>
          <w:t>artigos 106 e 107 da Lei n° 14.133, de 2021.</w:t>
        </w:r>
      </w:hyperlink>
    </w:p>
    <w:p w14:paraId="26E993E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lastRenderedPageBreak/>
        <w:t>A prorrogação de que trata este item é condicionada ao ateste, pela autoridade competente, de que as condições e os preços permanecem vantajosos para a Administração, permitida a negociação</w:t>
      </w:r>
      <w:r>
        <w:rPr>
          <w:rFonts w:ascii="Arial" w:eastAsia="Arial" w:hAnsi="Arial" w:cs="Arial"/>
          <w:sz w:val="20"/>
          <w:szCs w:val="20"/>
        </w:rPr>
        <w:t xml:space="preserve"> com o contratado, atentando, ainda, para o cumprimento dos seguintes requisitos: </w:t>
      </w:r>
    </w:p>
    <w:p w14:paraId="69DB62F9" w14:textId="77777777" w:rsidR="00447FAF" w:rsidRDefault="00865351">
      <w:pPr>
        <w:numPr>
          <w:ilvl w:val="1"/>
          <w:numId w:val="6"/>
        </w:numPr>
        <w:pBdr>
          <w:top w:val="nil"/>
          <w:left w:val="nil"/>
          <w:bottom w:val="nil"/>
          <w:right w:val="nil"/>
          <w:between w:val="nil"/>
        </w:pBd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Estar formalmente demonstrado no processo que a forma de prestação dos serviços tem natureza continuada;</w:t>
      </w:r>
    </w:p>
    <w:p w14:paraId="2070DFCC" w14:textId="77777777" w:rsidR="00447FAF" w:rsidRDefault="00865351">
      <w:pPr>
        <w:numPr>
          <w:ilvl w:val="1"/>
          <w:numId w:val="6"/>
        </w:numPr>
        <w:pBdr>
          <w:top w:val="nil"/>
          <w:left w:val="nil"/>
          <w:bottom w:val="nil"/>
          <w:right w:val="nil"/>
          <w:between w:val="nil"/>
        </w:pBd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Seja juntado relatório que discorra sobre a execução do contrato, com informações de que os serviços tenham sido prestados regularmente;  </w:t>
      </w:r>
    </w:p>
    <w:p w14:paraId="254659D2" w14:textId="77777777" w:rsidR="00447FAF" w:rsidRDefault="00865351">
      <w:pPr>
        <w:numPr>
          <w:ilvl w:val="1"/>
          <w:numId w:val="6"/>
        </w:numPr>
        <w:pBdr>
          <w:top w:val="nil"/>
          <w:left w:val="nil"/>
          <w:bottom w:val="nil"/>
          <w:right w:val="nil"/>
          <w:between w:val="nil"/>
        </w:pBd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Seja juntada justificativa e motivo, por escrito, de que a Administração mantém interesse na realização do serviço;  </w:t>
      </w:r>
    </w:p>
    <w:p w14:paraId="16F0966C" w14:textId="77777777" w:rsidR="00447FAF" w:rsidRDefault="00865351">
      <w:pPr>
        <w:numPr>
          <w:ilvl w:val="1"/>
          <w:numId w:val="6"/>
        </w:numPr>
        <w:pBdr>
          <w:top w:val="nil"/>
          <w:left w:val="nil"/>
          <w:bottom w:val="nil"/>
          <w:right w:val="nil"/>
          <w:between w:val="nil"/>
        </w:pBd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Haja manifestação expressa do contratado informando o interesse na prorrogação; </w:t>
      </w:r>
    </w:p>
    <w:p w14:paraId="26C76B80" w14:textId="77777777" w:rsidR="00447FAF" w:rsidRDefault="00865351">
      <w:pPr>
        <w:numPr>
          <w:ilvl w:val="1"/>
          <w:numId w:val="6"/>
        </w:numPr>
        <w:pBdr>
          <w:top w:val="nil"/>
          <w:left w:val="nil"/>
          <w:bottom w:val="nil"/>
          <w:right w:val="nil"/>
          <w:between w:val="nil"/>
        </w:pBd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Seja comprovado que o contratado mantém as condições iniciais de habilitação.</w:t>
      </w:r>
    </w:p>
    <w:p w14:paraId="4B73E52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contratado não tem direito subjetivo à prorrogação contratual.</w:t>
      </w:r>
    </w:p>
    <w:p w14:paraId="382B6A0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A prorrogação de contrato dever</w:t>
      </w:r>
      <w:r>
        <w:rPr>
          <w:rFonts w:ascii="Arial" w:eastAsia="Arial" w:hAnsi="Arial" w:cs="Arial"/>
          <w:sz w:val="20"/>
          <w:szCs w:val="20"/>
        </w:rPr>
        <w:t xml:space="preserve">á ser promovida mediante celebração de termo aditivo. </w:t>
      </w:r>
    </w:p>
    <w:p w14:paraId="748F6C5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Nas eventuais prorrogações contratuais, os custos não renováveis já pagos ou amortizados ao longo do primeiro período de vigência da contratação deverão ser reduzidos ou eliminados como condição para a</w:t>
      </w:r>
      <w:r>
        <w:rPr>
          <w:rFonts w:ascii="Arial" w:eastAsia="Arial" w:hAnsi="Arial" w:cs="Arial"/>
          <w:sz w:val="20"/>
          <w:szCs w:val="20"/>
        </w:rPr>
        <w:t xml:space="preserve"> renovação.</w:t>
      </w:r>
    </w:p>
    <w:p w14:paraId="3D3CA26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contrato não poderá ser prorrogado quando o contratado tiver sido penalizado nas sanções de declaração de inidoneidade ou impedimento de licitar e contratar com poder público, observadas as abrangências de aplicação.</w:t>
      </w:r>
    </w:p>
    <w:p w14:paraId="5A2FC819"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bookmarkStart w:id="0" w:name="_heading=h.gjdgxs" w:colFirst="0" w:colLast="0"/>
      <w:bookmarkEnd w:id="0"/>
      <w:r>
        <w:rPr>
          <w:rFonts w:ascii="Arial" w:eastAsia="Arial" w:hAnsi="Arial" w:cs="Arial"/>
          <w:b/>
          <w:sz w:val="20"/>
          <w:szCs w:val="20"/>
        </w:rPr>
        <w:t xml:space="preserve">CLÁUSULA TERCEIRA – </w:t>
      </w:r>
      <w:r>
        <w:rPr>
          <w:rFonts w:ascii="Arial" w:eastAsia="Arial" w:hAnsi="Arial" w:cs="Arial"/>
          <w:b/>
          <w:sz w:val="20"/>
          <w:szCs w:val="20"/>
        </w:rPr>
        <w:t>MODELOS DE EXECUÇÃO E GESTÃO CONTRATUAIS (</w:t>
      </w:r>
      <w:hyperlink r:id="rId10" w:anchor="art92">
        <w:r>
          <w:rPr>
            <w:rFonts w:ascii="Arial" w:eastAsia="Arial" w:hAnsi="Arial" w:cs="Arial"/>
            <w:b/>
            <w:sz w:val="20"/>
            <w:szCs w:val="20"/>
            <w:u w:val="single"/>
          </w:rPr>
          <w:t>art. 92, IV, VII e XVIII)</w:t>
        </w:r>
      </w:hyperlink>
    </w:p>
    <w:p w14:paraId="761C5021"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regime de execução contratual, os modelos de gestão e de execução, assim como os praz</w:t>
      </w:r>
      <w:r>
        <w:rPr>
          <w:rFonts w:ascii="Arial" w:eastAsia="Arial" w:hAnsi="Arial" w:cs="Arial"/>
          <w:sz w:val="20"/>
          <w:szCs w:val="20"/>
        </w:rPr>
        <w:t>os e condições de conclusão, entrega, observação e recebimento do objeto constam no Termo de Referência, anexo a este Contrato.</w:t>
      </w:r>
    </w:p>
    <w:p w14:paraId="373AF527"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sz w:val="20"/>
          <w:szCs w:val="20"/>
        </w:rPr>
        <w:t xml:space="preserve">CLÁUSULA QUARTA – SUBCONTRATAÇÃO </w:t>
      </w:r>
    </w:p>
    <w:p w14:paraId="6BDBBA0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Não será admitida a subcontratação do objeto contratual.</w:t>
      </w:r>
    </w:p>
    <w:p w14:paraId="677D593D"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QUINTA - PREÇO</w:t>
      </w:r>
    </w:p>
    <w:p w14:paraId="4ED5752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valor </w:t>
      </w:r>
      <w:r>
        <w:rPr>
          <w:rFonts w:ascii="Arial" w:eastAsia="Arial" w:hAnsi="Arial" w:cs="Arial"/>
          <w:color w:val="000000"/>
          <w:sz w:val="20"/>
          <w:szCs w:val="20"/>
        </w:rPr>
        <w:t>mensal da contratação é de R$</w:t>
      </w:r>
      <w:r>
        <w:rPr>
          <w:rFonts w:ascii="Arial" w:eastAsia="Arial" w:hAnsi="Arial" w:cs="Arial"/>
          <w:i/>
          <w:color w:val="000000"/>
          <w:sz w:val="20"/>
          <w:szCs w:val="20"/>
        </w:rPr>
        <w:t xml:space="preserve"> </w:t>
      </w:r>
      <w:r>
        <w:rPr>
          <w:rFonts w:ascii="Arial" w:eastAsia="Arial" w:hAnsi="Arial" w:cs="Arial"/>
          <w:i/>
          <w:color w:val="FF0000"/>
          <w:sz w:val="20"/>
          <w:szCs w:val="20"/>
        </w:rPr>
        <w:t xml:space="preserve">.......... </w:t>
      </w:r>
      <w:proofErr w:type="gramStart"/>
      <w:r>
        <w:rPr>
          <w:rFonts w:ascii="Arial" w:eastAsia="Arial" w:hAnsi="Arial" w:cs="Arial"/>
          <w:i/>
          <w:color w:val="FF0000"/>
          <w:sz w:val="20"/>
          <w:szCs w:val="20"/>
        </w:rPr>
        <w:t>(....</w:t>
      </w:r>
      <w:proofErr w:type="gramEnd"/>
      <w:r>
        <w:rPr>
          <w:rFonts w:ascii="Arial" w:eastAsia="Arial" w:hAnsi="Arial" w:cs="Arial"/>
          <w:i/>
          <w:color w:val="FF0000"/>
          <w:sz w:val="20"/>
          <w:szCs w:val="20"/>
        </w:rPr>
        <w:t xml:space="preserve">.), </w:t>
      </w:r>
      <w:r>
        <w:rPr>
          <w:rFonts w:ascii="Arial" w:eastAsia="Arial" w:hAnsi="Arial" w:cs="Arial"/>
          <w:color w:val="000000"/>
          <w:sz w:val="20"/>
          <w:szCs w:val="20"/>
        </w:rPr>
        <w:t>perfazendo o valor total de R$</w:t>
      </w:r>
      <w:r>
        <w:rPr>
          <w:rFonts w:ascii="Arial" w:eastAsia="Arial" w:hAnsi="Arial" w:cs="Arial"/>
          <w:i/>
          <w:color w:val="FF0000"/>
          <w:sz w:val="20"/>
          <w:szCs w:val="20"/>
        </w:rPr>
        <w:t xml:space="preserve"> ....... (....).</w:t>
      </w:r>
    </w:p>
    <w:p w14:paraId="6DFCBDB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 valor acima estão incluídas todas as despesas ordinárias diretas e indiretas decorrentes da execução do objeto, inclusive tributos e/ou impostos, encargos s</w:t>
      </w:r>
      <w:r>
        <w:rPr>
          <w:rFonts w:ascii="Arial" w:eastAsia="Arial" w:hAnsi="Arial" w:cs="Arial"/>
          <w:color w:val="000000"/>
          <w:sz w:val="20"/>
          <w:szCs w:val="20"/>
        </w:rPr>
        <w:t>ociais, trabalhistas, previdenciários, fiscais e comerciais incidentes, taxa de administração, frete, seguro e outros necessários ao cumprimento integral do objeto da contratação.</w:t>
      </w:r>
    </w:p>
    <w:p w14:paraId="1406560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 valor acima é meramente estimativo, de forma que os pagamentos devidos ao </w:t>
      </w:r>
      <w:r>
        <w:rPr>
          <w:rFonts w:ascii="Arial" w:eastAsia="Arial" w:hAnsi="Arial" w:cs="Arial"/>
          <w:sz w:val="20"/>
          <w:szCs w:val="20"/>
        </w:rPr>
        <w:t>contratado dependerão dos quantitativos efetivamente fornecidos.</w:t>
      </w:r>
    </w:p>
    <w:p w14:paraId="521EB723"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SEXTA - PAGAMENTO (</w:t>
      </w:r>
      <w:hyperlink r:id="rId11" w:anchor="art92">
        <w:r>
          <w:rPr>
            <w:rFonts w:ascii="Arial" w:eastAsia="Arial" w:hAnsi="Arial" w:cs="Arial"/>
            <w:b/>
            <w:color w:val="000080"/>
            <w:sz w:val="20"/>
            <w:szCs w:val="20"/>
            <w:u w:val="single"/>
          </w:rPr>
          <w:t>art. 92, V e VI</w:t>
        </w:r>
      </w:hyperlink>
      <w:r>
        <w:rPr>
          <w:rFonts w:ascii="Arial" w:eastAsia="Arial" w:hAnsi="Arial" w:cs="Arial"/>
          <w:b/>
          <w:color w:val="000000"/>
          <w:sz w:val="20"/>
          <w:szCs w:val="20"/>
        </w:rPr>
        <w:t>)</w:t>
      </w:r>
    </w:p>
    <w:p w14:paraId="7F6491D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prazo para pagamento ao contratado e demais</w:t>
      </w:r>
      <w:r>
        <w:rPr>
          <w:rFonts w:ascii="Arial" w:eastAsia="Arial" w:hAnsi="Arial" w:cs="Arial"/>
          <w:color w:val="000000"/>
          <w:sz w:val="20"/>
          <w:szCs w:val="20"/>
        </w:rPr>
        <w:t xml:space="preserve"> condições a ele referentes, inclusive quanto à utilização da Conta-Depósito Vinculada - bloqueada para movimentação </w:t>
      </w:r>
      <w:r>
        <w:rPr>
          <w:rFonts w:ascii="Arial" w:eastAsia="Arial" w:hAnsi="Arial" w:cs="Arial"/>
          <w:strike/>
          <w:color w:val="000000"/>
          <w:sz w:val="20"/>
          <w:szCs w:val="20"/>
        </w:rPr>
        <w:t>ou do Pagamento pelo Fato Gerador</w:t>
      </w:r>
      <w:r>
        <w:rPr>
          <w:rFonts w:ascii="Arial" w:eastAsia="Arial" w:hAnsi="Arial" w:cs="Arial"/>
          <w:color w:val="000000"/>
          <w:sz w:val="20"/>
          <w:szCs w:val="20"/>
        </w:rPr>
        <w:t>, encontram-se definidos no Termo de Referência, anexo a este Contrato.</w:t>
      </w:r>
    </w:p>
    <w:p w14:paraId="503B633B"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lastRenderedPageBreak/>
        <w:t xml:space="preserve">CLÁUSULA SÉTIMA - REPACTUAÇÃO DOS </w:t>
      </w:r>
      <w:r>
        <w:rPr>
          <w:rFonts w:ascii="Arial" w:eastAsia="Arial" w:hAnsi="Arial" w:cs="Arial"/>
          <w:b/>
          <w:color w:val="000000"/>
          <w:sz w:val="20"/>
          <w:szCs w:val="20"/>
        </w:rPr>
        <w:t>PREÇOS CONTRATADOS (art. 92, V e X)</w:t>
      </w:r>
    </w:p>
    <w:p w14:paraId="115AB9F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preços contratados serão repactuados para manutenção do equilíbrio econômico-financeiro, após o interregno de um ano, mediante solicitação do contratado.</w:t>
      </w:r>
    </w:p>
    <w:p w14:paraId="609CB89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interregno mínimo de 1 (um) ano para a primeira repactuação s</w:t>
      </w:r>
      <w:r>
        <w:rPr>
          <w:rFonts w:ascii="Arial" w:eastAsia="Arial" w:hAnsi="Arial" w:cs="Arial"/>
          <w:color w:val="000000"/>
          <w:sz w:val="20"/>
          <w:szCs w:val="20"/>
        </w:rPr>
        <w:t>erá contado:</w:t>
      </w:r>
    </w:p>
    <w:p w14:paraId="7761F807" w14:textId="77777777" w:rsidR="00447FAF" w:rsidRDefault="00865351">
      <w:pPr>
        <w:numPr>
          <w:ilvl w:val="0"/>
          <w:numId w:val="5"/>
        </w:numPr>
        <w:spacing w:before="120" w:line="276" w:lineRule="auto"/>
        <w:ind w:left="284" w:firstLine="0"/>
        <w:jc w:val="both"/>
        <w:rPr>
          <w:rFonts w:ascii="Arial" w:eastAsia="Arial" w:hAnsi="Arial" w:cs="Arial"/>
          <w:sz w:val="20"/>
          <w:szCs w:val="20"/>
        </w:rPr>
      </w:pPr>
      <w:r>
        <w:rPr>
          <w:rFonts w:ascii="Arial" w:eastAsia="Arial" w:hAnsi="Arial" w:cs="Arial"/>
          <w:sz w:val="20"/>
          <w:szCs w:val="20"/>
        </w:rPr>
        <w:t xml:space="preserve">Para os custos relativos à mão de obra, vinculados à data-base da categoria profissional: a partir da data de início dos efeitos financeiros do acordo, convenção ou dissídio coletivo de trabalho </w:t>
      </w:r>
      <w:r>
        <w:rPr>
          <w:rFonts w:ascii="Arial" w:eastAsia="Arial" w:hAnsi="Arial" w:cs="Arial"/>
          <w:color w:val="000000"/>
          <w:sz w:val="20"/>
          <w:szCs w:val="20"/>
        </w:rPr>
        <w:t>ao qual a proposta estiver vinculada</w:t>
      </w:r>
      <w:r>
        <w:rPr>
          <w:rFonts w:ascii="Arial" w:eastAsia="Arial" w:hAnsi="Arial" w:cs="Arial"/>
          <w:sz w:val="20"/>
          <w:szCs w:val="20"/>
        </w:rPr>
        <w:t xml:space="preserve">, relativo a cada categoria profissional abrangida pelo contrato; </w:t>
      </w:r>
    </w:p>
    <w:p w14:paraId="047524D3" w14:textId="77777777" w:rsidR="00447FAF" w:rsidRDefault="00865351">
      <w:pPr>
        <w:numPr>
          <w:ilvl w:val="0"/>
          <w:numId w:val="5"/>
        </w:numPr>
        <w:spacing w:after="120" w:line="276" w:lineRule="auto"/>
        <w:ind w:left="284" w:firstLine="0"/>
        <w:jc w:val="both"/>
        <w:rPr>
          <w:rFonts w:ascii="Arial" w:eastAsia="Arial" w:hAnsi="Arial" w:cs="Arial"/>
          <w:sz w:val="20"/>
          <w:szCs w:val="20"/>
        </w:rPr>
      </w:pPr>
      <w:r>
        <w:rPr>
          <w:rFonts w:ascii="Arial" w:eastAsia="Arial" w:hAnsi="Arial" w:cs="Arial"/>
          <w:sz w:val="20"/>
          <w:szCs w:val="20"/>
        </w:rPr>
        <w:t>Para</w:t>
      </w:r>
      <w:r>
        <w:rPr>
          <w:rFonts w:ascii="Arial" w:eastAsia="Arial" w:hAnsi="Arial" w:cs="Arial"/>
          <w:color w:val="000000"/>
          <w:sz w:val="20"/>
          <w:szCs w:val="20"/>
        </w:rPr>
        <w:t> os custos decorrentes do mercado</w:t>
      </w:r>
      <w:r>
        <w:rPr>
          <w:rFonts w:ascii="Arial" w:eastAsia="Arial" w:hAnsi="Arial" w:cs="Arial"/>
          <w:sz w:val="20"/>
          <w:szCs w:val="20"/>
        </w:rPr>
        <w:t>: a partir da apresentação da proposta.</w:t>
      </w:r>
    </w:p>
    <w:p w14:paraId="1D1264E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Nas repactuações subsequentes à primeira, o interregno mínimo de 1 (um) ano será contado a partir da data da </w:t>
      </w:r>
      <w:r>
        <w:rPr>
          <w:rFonts w:ascii="Arial" w:eastAsia="Arial" w:hAnsi="Arial" w:cs="Arial"/>
          <w:color w:val="000000"/>
          <w:sz w:val="20"/>
          <w:szCs w:val="20"/>
        </w:rPr>
        <w:t>última repactuação correspondente à mesma parcela objeto da nova solicitação.</w:t>
      </w:r>
    </w:p>
    <w:p w14:paraId="65B6D3BA"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Entende-se como última repactuação a data em que iniciados seus efeitos financeiros, independentemente daquela apostilada.</w:t>
      </w:r>
    </w:p>
    <w:p w14:paraId="31E57B89"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repactuação poderá ser dividida em tantas parcelas qu</w:t>
      </w:r>
      <w:r>
        <w:rPr>
          <w:rFonts w:ascii="Arial" w:eastAsia="Arial" w:hAnsi="Arial" w:cs="Arial"/>
          <w:color w:val="000000"/>
          <w:sz w:val="20"/>
          <w:szCs w:val="20"/>
        </w:rPr>
        <w:t>antas forem necessárias, observado o princípio da anualidade do reajuste de preços da contratação, podendo ser realizada em momentos distintos para discutir a variação de custos que tenham sua anualidade resultante em datas diferenciadas, como os decorrent</w:t>
      </w:r>
      <w:r>
        <w:rPr>
          <w:rFonts w:ascii="Arial" w:eastAsia="Arial" w:hAnsi="Arial" w:cs="Arial"/>
          <w:color w:val="000000"/>
          <w:sz w:val="20"/>
          <w:szCs w:val="20"/>
        </w:rPr>
        <w:t>es de mão de obra e os decorrentes dos insumos necessários à execução dos serviços. (</w:t>
      </w:r>
      <w:proofErr w:type="gramStart"/>
      <w:r>
        <w:rPr>
          <w:rFonts w:ascii="Arial" w:eastAsia="Arial" w:hAnsi="Arial" w:cs="Arial"/>
          <w:color w:val="000000"/>
          <w:sz w:val="20"/>
          <w:szCs w:val="20"/>
        </w:rPr>
        <w:t>art.</w:t>
      </w:r>
      <w:proofErr w:type="gramEnd"/>
      <w:r>
        <w:rPr>
          <w:rFonts w:ascii="Arial" w:eastAsia="Arial" w:hAnsi="Arial" w:cs="Arial"/>
          <w:color w:val="000000"/>
          <w:sz w:val="20"/>
          <w:szCs w:val="20"/>
        </w:rPr>
        <w:t xml:space="preserve"> 135, § 4º, da Lei n.º 14.133/2021). </w:t>
      </w:r>
    </w:p>
    <w:p w14:paraId="4BC0FF0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a contratação envolver mais de uma categoria profissional, a repactuação dos custos contratuais decorrentes da mão de obra</w:t>
      </w:r>
      <w:r>
        <w:rPr>
          <w:rFonts w:ascii="Arial" w:eastAsia="Arial" w:hAnsi="Arial" w:cs="Arial"/>
          <w:color w:val="000000"/>
          <w:sz w:val="20"/>
          <w:szCs w:val="20"/>
        </w:rPr>
        <w:t xml:space="preserve"> poderá ser dividida em tantos quantos forem os acordos, convenções ou dissídios coletivos de trabalho das respectivas categorias. (</w:t>
      </w:r>
      <w:proofErr w:type="gramStart"/>
      <w:r>
        <w:rPr>
          <w:rFonts w:ascii="Arial" w:eastAsia="Arial" w:hAnsi="Arial" w:cs="Arial"/>
          <w:color w:val="000000"/>
          <w:sz w:val="20"/>
          <w:szCs w:val="20"/>
        </w:rPr>
        <w:t>art.</w:t>
      </w:r>
      <w:proofErr w:type="gramEnd"/>
      <w:r>
        <w:rPr>
          <w:rFonts w:ascii="Arial" w:eastAsia="Arial" w:hAnsi="Arial" w:cs="Arial"/>
          <w:color w:val="000000"/>
          <w:sz w:val="20"/>
          <w:szCs w:val="20"/>
        </w:rPr>
        <w:t xml:space="preserve"> 135, § 5º, da Lei n.º 14.133/2021)</w:t>
      </w:r>
    </w:p>
    <w:p w14:paraId="460380B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É vedada a inclusão, por ocasião da repactuação, de benefícios não previstos na prop</w:t>
      </w:r>
      <w:r>
        <w:rPr>
          <w:rFonts w:ascii="Arial" w:eastAsia="Arial" w:hAnsi="Arial" w:cs="Arial"/>
          <w:color w:val="000000"/>
          <w:sz w:val="20"/>
          <w:szCs w:val="20"/>
        </w:rPr>
        <w:t xml:space="preserve">osta inicial, exceto quando se tornarem obrigatórios por força de lei, acordo, convenção ou dissídio coletivo de trabalho.  </w:t>
      </w:r>
    </w:p>
    <w:p w14:paraId="0F6E8F0E"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repactuação, o contratante não se vinculará às disposições contidas em acordos, convenções ou dissídios coletivos de trabalho qu</w:t>
      </w:r>
      <w:r>
        <w:rPr>
          <w:rFonts w:ascii="Arial" w:eastAsia="Arial" w:hAnsi="Arial" w:cs="Arial"/>
          <w:color w:val="000000"/>
          <w:sz w:val="20"/>
          <w:szCs w:val="20"/>
        </w:rPr>
        <w:t>e tratem de obrigações e direitos que somente se aplicam aos contratos com a Administração Pública, de matéria não trabalhista, de pagamento de participação dos trabalhadores nos lucros ou resultados do contratado, ou que estabeleçam direitos não previstos</w:t>
      </w:r>
      <w:r>
        <w:rPr>
          <w:rFonts w:ascii="Arial" w:eastAsia="Arial" w:hAnsi="Arial" w:cs="Arial"/>
          <w:color w:val="000000"/>
          <w:sz w:val="20"/>
          <w:szCs w:val="20"/>
        </w:rPr>
        <w:t xml:space="preserve"> em lei, como valores ou índices obrigatórios de encargos sociais ou previdenciários, bem como de preços para os insumos relacionados ao exercício da atividade.(art. 135, §§ 1º e 2º, da Lei n.º 14.133/2021)</w:t>
      </w:r>
    </w:p>
    <w:p w14:paraId="1F72CF00"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Quando a repactuação solicitada se referir aos cu</w:t>
      </w:r>
      <w:r>
        <w:rPr>
          <w:rFonts w:ascii="Arial" w:eastAsia="Arial" w:hAnsi="Arial" w:cs="Arial"/>
          <w:color w:val="000000"/>
          <w:sz w:val="20"/>
          <w:szCs w:val="20"/>
        </w:rPr>
        <w:t>stos da mão de obra, o contratado efetuará a comprovação da variação dos custos por meio de Planilha de Custos e Formação de Preços, acompanhada da apresentação do novo acordo, convenção ou sentença normativa da categoria profissional abrangida pelo contra</w:t>
      </w:r>
      <w:r>
        <w:rPr>
          <w:rFonts w:ascii="Arial" w:eastAsia="Arial" w:hAnsi="Arial" w:cs="Arial"/>
          <w:color w:val="000000"/>
          <w:sz w:val="20"/>
          <w:szCs w:val="20"/>
        </w:rPr>
        <w:t>to.</w:t>
      </w:r>
    </w:p>
    <w:p w14:paraId="127BEE59"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repactuação para reajustamento do contrato em razão de novo Acordo, Convenção ou Dissídio Coletivo de Trabalho deve repassar integralmente o aumento de custos da mão de obra decorrente desses instrumentos.</w:t>
      </w:r>
    </w:p>
    <w:p w14:paraId="37737A6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a repactuação solicitada pelo contrat</w:t>
      </w:r>
      <w:r>
        <w:rPr>
          <w:rFonts w:ascii="Arial" w:eastAsia="Arial" w:hAnsi="Arial" w:cs="Arial"/>
          <w:color w:val="000000"/>
          <w:sz w:val="20"/>
          <w:szCs w:val="20"/>
        </w:rPr>
        <w:t>ado se referir aos custos decorrentes do mercado, o respectivo aumento será apurado med</w:t>
      </w:r>
      <w:r>
        <w:rPr>
          <w:rFonts w:ascii="Arial" w:eastAsia="Arial" w:hAnsi="Arial" w:cs="Arial"/>
          <w:sz w:val="20"/>
          <w:szCs w:val="20"/>
        </w:rPr>
        <w:t xml:space="preserve">iante a aplicação do índice de </w:t>
      </w:r>
      <w:proofErr w:type="gramStart"/>
      <w:r>
        <w:rPr>
          <w:rFonts w:ascii="Arial" w:eastAsia="Arial" w:hAnsi="Arial" w:cs="Arial"/>
          <w:sz w:val="20"/>
          <w:szCs w:val="20"/>
        </w:rPr>
        <w:t>reajustamento  IPCA</w:t>
      </w:r>
      <w:proofErr w:type="gramEnd"/>
      <w:r>
        <w:rPr>
          <w:rFonts w:ascii="Arial" w:eastAsia="Arial" w:hAnsi="Arial" w:cs="Arial"/>
          <w:sz w:val="20"/>
          <w:szCs w:val="20"/>
        </w:rPr>
        <w:t xml:space="preserve"> - Índice Nacional de Preços ao Consumidor Amplo, com base na seguinte fórmula: </w:t>
      </w:r>
    </w:p>
    <w:p w14:paraId="642C032E" w14:textId="77777777" w:rsidR="00447FAF" w:rsidRDefault="00865351">
      <w:pPr>
        <w:spacing w:before="120" w:after="120" w:line="276" w:lineRule="auto"/>
        <w:ind w:left="851"/>
        <w:jc w:val="both"/>
        <w:rPr>
          <w:rFonts w:ascii="Arial" w:eastAsia="Arial" w:hAnsi="Arial" w:cs="Arial"/>
          <w:sz w:val="20"/>
          <w:szCs w:val="20"/>
        </w:rPr>
      </w:pPr>
      <w:r>
        <w:rPr>
          <w:rFonts w:ascii="Arial" w:eastAsia="Arial" w:hAnsi="Arial" w:cs="Arial"/>
          <w:sz w:val="20"/>
          <w:szCs w:val="20"/>
        </w:rPr>
        <w:t xml:space="preserve">R = V (I – </w:t>
      </w:r>
      <w:proofErr w:type="spellStart"/>
      <w:r>
        <w:rPr>
          <w:rFonts w:ascii="Arial" w:eastAsia="Arial" w:hAnsi="Arial" w:cs="Arial"/>
          <w:sz w:val="20"/>
          <w:szCs w:val="20"/>
        </w:rPr>
        <w:t>Iº</w:t>
      </w:r>
      <w:proofErr w:type="spellEnd"/>
      <w:r>
        <w:rPr>
          <w:rFonts w:ascii="Arial" w:eastAsia="Arial" w:hAnsi="Arial" w:cs="Arial"/>
          <w:sz w:val="20"/>
          <w:szCs w:val="20"/>
        </w:rPr>
        <w:t xml:space="preserve">) / </w:t>
      </w:r>
      <w:proofErr w:type="spellStart"/>
      <w:r>
        <w:rPr>
          <w:rFonts w:ascii="Arial" w:eastAsia="Arial" w:hAnsi="Arial" w:cs="Arial"/>
          <w:sz w:val="20"/>
          <w:szCs w:val="20"/>
        </w:rPr>
        <w:t>Iº</w:t>
      </w:r>
      <w:proofErr w:type="spellEnd"/>
      <w:r>
        <w:rPr>
          <w:rFonts w:ascii="Arial" w:eastAsia="Arial" w:hAnsi="Arial" w:cs="Arial"/>
          <w:sz w:val="20"/>
          <w:szCs w:val="20"/>
        </w:rPr>
        <w:t>, onde:</w:t>
      </w:r>
    </w:p>
    <w:p w14:paraId="0782F147" w14:textId="77777777" w:rsidR="00447FAF" w:rsidRDefault="00865351">
      <w:pPr>
        <w:spacing w:before="120" w:after="120" w:line="276" w:lineRule="auto"/>
        <w:ind w:left="851"/>
        <w:jc w:val="both"/>
        <w:rPr>
          <w:rFonts w:ascii="Arial" w:eastAsia="Arial" w:hAnsi="Arial" w:cs="Arial"/>
          <w:sz w:val="20"/>
          <w:szCs w:val="20"/>
        </w:rPr>
      </w:pPr>
      <w:r>
        <w:rPr>
          <w:rFonts w:ascii="Arial" w:eastAsia="Arial" w:hAnsi="Arial" w:cs="Arial"/>
          <w:sz w:val="20"/>
          <w:szCs w:val="20"/>
        </w:rPr>
        <w:t xml:space="preserve">R = Valor </w:t>
      </w:r>
      <w:r>
        <w:rPr>
          <w:rFonts w:ascii="Arial" w:eastAsia="Arial" w:hAnsi="Arial" w:cs="Arial"/>
          <w:sz w:val="20"/>
          <w:szCs w:val="20"/>
        </w:rPr>
        <w:t>do reajustamento procurado;</w:t>
      </w:r>
    </w:p>
    <w:p w14:paraId="456EE40B" w14:textId="77777777" w:rsidR="00447FAF" w:rsidRDefault="00865351">
      <w:pPr>
        <w:spacing w:before="120" w:after="120" w:line="276" w:lineRule="auto"/>
        <w:ind w:left="851"/>
        <w:jc w:val="both"/>
        <w:rPr>
          <w:rFonts w:ascii="Arial" w:eastAsia="Arial" w:hAnsi="Arial" w:cs="Arial"/>
          <w:sz w:val="20"/>
          <w:szCs w:val="20"/>
        </w:rPr>
      </w:pPr>
      <w:r>
        <w:rPr>
          <w:rFonts w:ascii="Arial" w:eastAsia="Arial" w:hAnsi="Arial" w:cs="Arial"/>
          <w:sz w:val="20"/>
          <w:szCs w:val="20"/>
        </w:rPr>
        <w:lastRenderedPageBreak/>
        <w:t>V = Valor contratual correspondente à parcela dos custos decorrentes do mercado a ser reajustada;</w:t>
      </w:r>
    </w:p>
    <w:p w14:paraId="4A2F5D20" w14:textId="77777777" w:rsidR="00447FAF" w:rsidRDefault="00865351">
      <w:pPr>
        <w:spacing w:before="120" w:after="120" w:line="276" w:lineRule="auto"/>
        <w:ind w:left="851"/>
        <w:jc w:val="both"/>
        <w:rPr>
          <w:rFonts w:ascii="Arial" w:eastAsia="Arial" w:hAnsi="Arial" w:cs="Arial"/>
          <w:sz w:val="20"/>
          <w:szCs w:val="20"/>
        </w:rPr>
      </w:pPr>
      <w:proofErr w:type="spellStart"/>
      <w:r>
        <w:rPr>
          <w:rFonts w:ascii="Arial" w:eastAsia="Arial" w:hAnsi="Arial" w:cs="Arial"/>
          <w:sz w:val="20"/>
          <w:szCs w:val="20"/>
          <w:highlight w:val="white"/>
        </w:rPr>
        <w:t>Iº</w:t>
      </w:r>
      <w:proofErr w:type="spellEnd"/>
      <w:r>
        <w:rPr>
          <w:rFonts w:ascii="Arial" w:eastAsia="Arial" w:hAnsi="Arial" w:cs="Arial"/>
          <w:sz w:val="20"/>
          <w:szCs w:val="20"/>
          <w:highlight w:val="white"/>
        </w:rPr>
        <w:t xml:space="preserve"> = índice inicial - refere-se ao índice de custos ou de preços correspondente à data de apresentação da proposta;</w:t>
      </w:r>
    </w:p>
    <w:p w14:paraId="16147A61" w14:textId="77777777" w:rsidR="00447FAF" w:rsidRDefault="00865351">
      <w:pPr>
        <w:spacing w:before="120" w:after="120" w:line="276" w:lineRule="auto"/>
        <w:ind w:left="851"/>
        <w:jc w:val="both"/>
        <w:rPr>
          <w:rFonts w:ascii="Arial" w:eastAsia="Arial" w:hAnsi="Arial" w:cs="Arial"/>
          <w:sz w:val="20"/>
          <w:szCs w:val="20"/>
          <w:highlight w:val="white"/>
        </w:rPr>
      </w:pPr>
      <w:r>
        <w:rPr>
          <w:rFonts w:ascii="Arial" w:eastAsia="Arial" w:hAnsi="Arial" w:cs="Arial"/>
          <w:sz w:val="20"/>
          <w:szCs w:val="20"/>
          <w:highlight w:val="white"/>
        </w:rPr>
        <w:t>I = Índice rel</w:t>
      </w:r>
      <w:r>
        <w:rPr>
          <w:rFonts w:ascii="Arial" w:eastAsia="Arial" w:hAnsi="Arial" w:cs="Arial"/>
          <w:sz w:val="20"/>
          <w:szCs w:val="20"/>
          <w:highlight w:val="white"/>
        </w:rPr>
        <w:t>ativo ao mês do reajustamento</w:t>
      </w:r>
      <w:bookmarkStart w:id="1" w:name="_GoBack"/>
      <w:bookmarkEnd w:id="1"/>
    </w:p>
    <w:p w14:paraId="2AA7A85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No caso de atraso ou não divulgação do índice de reajustamento, o contratante pagará ao contratado a importância calculada pela última variação conhecida, liquidando a diferença correspondente tão logo seja divulgado o índice </w:t>
      </w:r>
      <w:r>
        <w:rPr>
          <w:rFonts w:ascii="Arial" w:eastAsia="Arial" w:hAnsi="Arial" w:cs="Arial"/>
          <w:color w:val="000000"/>
          <w:sz w:val="20"/>
          <w:szCs w:val="20"/>
        </w:rPr>
        <w:t>definitivo; fica o contratado obrigado a apresentar memória de cálculo referente ao reajustamento de preços do valor remanescente, sempre que este ocorrer.</w:t>
      </w:r>
    </w:p>
    <w:p w14:paraId="7CF1E7E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Nas aferições finais, o índice utilizado para a repactuação dos custos decorrentes do mercado será, </w:t>
      </w:r>
      <w:r>
        <w:rPr>
          <w:rFonts w:ascii="Arial" w:eastAsia="Arial" w:hAnsi="Arial" w:cs="Arial"/>
          <w:color w:val="000000"/>
          <w:sz w:val="20"/>
          <w:szCs w:val="20"/>
        </w:rPr>
        <w:t xml:space="preserve">obrigatoriamente, o definitivo. </w:t>
      </w:r>
    </w:p>
    <w:p w14:paraId="675B2C2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Caso o índice estabelecido venha a ser extinto ou de qualquer forma não possa mais ser utilizado, será adotado, em substituição, o que vier a ser determinado pela legislação então em vigor. </w:t>
      </w:r>
    </w:p>
    <w:p w14:paraId="2FBA229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ausência de previsão legal qu</w:t>
      </w:r>
      <w:r>
        <w:rPr>
          <w:rFonts w:ascii="Arial" w:eastAsia="Arial" w:hAnsi="Arial" w:cs="Arial"/>
          <w:color w:val="000000"/>
          <w:sz w:val="20"/>
          <w:szCs w:val="20"/>
        </w:rPr>
        <w:t>anto ao índice substituto, as partes elegerão novo índice oficial, para reajustamento do preço do valor remanescente dos custos decorrentes do mercado, por meio de termo aditivo.</w:t>
      </w:r>
    </w:p>
    <w:p w14:paraId="12CE0B2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Independentemente do requerimento de repactuação dos custos decorrentes do me</w:t>
      </w:r>
      <w:r>
        <w:rPr>
          <w:rFonts w:ascii="Arial" w:eastAsia="Arial" w:hAnsi="Arial" w:cs="Arial"/>
          <w:color w:val="000000"/>
          <w:sz w:val="20"/>
          <w:szCs w:val="20"/>
        </w:rPr>
        <w:t>rcado, o contratante verificará, a cada anualidade, se houve deflação do índice adotado que justifique o recálculo dos custos em valor menor, promovendo, em caso positivo, a redução dos valores correspondentes da planilha contratual.</w:t>
      </w:r>
    </w:p>
    <w:p w14:paraId="058F445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efeitos financeiros</w:t>
      </w:r>
      <w:r>
        <w:rPr>
          <w:rFonts w:ascii="Arial" w:eastAsia="Arial" w:hAnsi="Arial" w:cs="Arial"/>
          <w:color w:val="000000"/>
          <w:sz w:val="20"/>
          <w:szCs w:val="20"/>
        </w:rPr>
        <w:t xml:space="preserve"> da repactuação decorrente da variação dos custos contratuais de mão de obra vinculados aos acordos, às convenções ou aos dissídios coletivos de trabalho retroagirão, quando for o caso, à data do início dos efeitos financeiros do novo acordo, convenção ou </w:t>
      </w:r>
      <w:r>
        <w:rPr>
          <w:rFonts w:ascii="Arial" w:eastAsia="Arial" w:hAnsi="Arial" w:cs="Arial"/>
          <w:color w:val="000000"/>
          <w:sz w:val="20"/>
          <w:szCs w:val="20"/>
        </w:rPr>
        <w:t>sentença normativa que fundamenta a repactuação.</w:t>
      </w:r>
    </w:p>
    <w:p w14:paraId="643CAD2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novos valores contratuais decorrentes das repactuações poderão se iniciar em data futura, desde que assim acordado entre as partes, sem prejuízo da contagem da anualidade para concessão das repactuações f</w:t>
      </w:r>
      <w:r>
        <w:rPr>
          <w:rFonts w:ascii="Arial" w:eastAsia="Arial" w:hAnsi="Arial" w:cs="Arial"/>
          <w:color w:val="000000"/>
          <w:sz w:val="20"/>
          <w:szCs w:val="20"/>
        </w:rPr>
        <w:t>uturas.</w:t>
      </w:r>
    </w:p>
    <w:p w14:paraId="06CB367E"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efeitos financeiros da repactuação ficarão restritos exclusivamente aos itens que a motivaram, e apenas em relação à diferença porventura existente.</w:t>
      </w:r>
    </w:p>
    <w:p w14:paraId="3CF62F4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pedido de repactuação deverá ser formulado durante a vigência do contrato e antes de eventual </w:t>
      </w:r>
      <w:r>
        <w:rPr>
          <w:rFonts w:ascii="Arial" w:eastAsia="Arial" w:hAnsi="Arial" w:cs="Arial"/>
          <w:color w:val="000000"/>
          <w:sz w:val="20"/>
          <w:szCs w:val="20"/>
        </w:rPr>
        <w:t>prorrogação ou encerramento contratual, sob pena de preclusão.</w:t>
      </w:r>
    </w:p>
    <w:p w14:paraId="4B8096C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Caso, na data da prorrogação contratual, ainda não tenha sido celebrado o novo acordo, convenção ou dissídio coletivo da categoria, ou ainda não tenha sido possível ao contratante ou ao contrat</w:t>
      </w:r>
      <w:r>
        <w:rPr>
          <w:rFonts w:ascii="Arial" w:eastAsia="Arial" w:hAnsi="Arial" w:cs="Arial"/>
          <w:color w:val="000000"/>
          <w:sz w:val="20"/>
          <w:szCs w:val="20"/>
        </w:rPr>
        <w:t>ado proceder aos cálculos devidos, deverá ser inserida cláusula no termo aditivo de prorrogação para resguardar o direito futuro à repactuação, a ser exercido tão logo se disponha dos valores reajustados, sob pena de preclusão.</w:t>
      </w:r>
    </w:p>
    <w:p w14:paraId="1F251DE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extinção do contrato não c</w:t>
      </w:r>
      <w:r>
        <w:rPr>
          <w:rFonts w:ascii="Arial" w:eastAsia="Arial" w:hAnsi="Arial" w:cs="Arial"/>
          <w:color w:val="000000"/>
          <w:sz w:val="20"/>
          <w:szCs w:val="20"/>
        </w:rPr>
        <w:t>onfigurará óbice para o deferimento da repactuação solicitada tempestivamente, hipótese em que será concedida por meio de termo indenizatório.</w:t>
      </w:r>
    </w:p>
    <w:p w14:paraId="6DF9A11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contratante decidirá sobre o pedido de repactuação de preços em </w:t>
      </w:r>
      <w:r>
        <w:rPr>
          <w:rFonts w:ascii="Arial" w:eastAsia="Arial" w:hAnsi="Arial" w:cs="Arial"/>
          <w:sz w:val="20"/>
          <w:szCs w:val="20"/>
        </w:rPr>
        <w:t>até 30 (trinta) dias contados da data do fornec</w:t>
      </w:r>
      <w:r>
        <w:rPr>
          <w:rFonts w:ascii="Arial" w:eastAsia="Arial" w:hAnsi="Arial" w:cs="Arial"/>
          <w:sz w:val="20"/>
          <w:szCs w:val="20"/>
        </w:rPr>
        <w:t>imento, pelo contratado, da documentação comprobatória da variação dos custos a serem repactuados. (</w:t>
      </w:r>
      <w:proofErr w:type="gramStart"/>
      <w:r>
        <w:rPr>
          <w:rFonts w:ascii="Arial" w:eastAsia="Arial" w:hAnsi="Arial" w:cs="Arial"/>
          <w:sz w:val="20"/>
          <w:szCs w:val="20"/>
        </w:rPr>
        <w:t>art.</w:t>
      </w:r>
      <w:proofErr w:type="gramEnd"/>
      <w:r>
        <w:rPr>
          <w:rFonts w:ascii="Arial" w:eastAsia="Arial" w:hAnsi="Arial" w:cs="Arial"/>
          <w:sz w:val="20"/>
          <w:szCs w:val="20"/>
        </w:rPr>
        <w:t xml:space="preserve"> 92, § 6º, c/c o art. 135, § 6º)  </w:t>
      </w:r>
    </w:p>
    <w:p w14:paraId="1CA64F6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lastRenderedPageBreak/>
        <w:t>O prazo referido no subitem anterior ficará suspenso enquanto o contratado não cumprir os atos ou apresentar a docume</w:t>
      </w:r>
      <w:r>
        <w:rPr>
          <w:rFonts w:ascii="Arial" w:eastAsia="Arial" w:hAnsi="Arial" w:cs="Arial"/>
          <w:sz w:val="20"/>
          <w:szCs w:val="20"/>
        </w:rPr>
        <w:t>ntação solicitada pelo contratante para a comprovação da variação do</w:t>
      </w:r>
      <w:r>
        <w:rPr>
          <w:rFonts w:ascii="Arial" w:eastAsia="Arial" w:hAnsi="Arial" w:cs="Arial"/>
          <w:color w:val="000000"/>
          <w:sz w:val="20"/>
          <w:szCs w:val="20"/>
        </w:rPr>
        <w:t>s custos.</w:t>
      </w:r>
    </w:p>
    <w:p w14:paraId="33408D5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repactuação de preços será formalizada por </w:t>
      </w:r>
      <w:proofErr w:type="spellStart"/>
      <w:r>
        <w:rPr>
          <w:rFonts w:ascii="Arial" w:eastAsia="Arial" w:hAnsi="Arial" w:cs="Arial"/>
          <w:color w:val="000000"/>
          <w:sz w:val="20"/>
          <w:szCs w:val="20"/>
        </w:rPr>
        <w:t>apostilamento</w:t>
      </w:r>
      <w:proofErr w:type="spellEnd"/>
      <w:r>
        <w:rPr>
          <w:rFonts w:ascii="Arial" w:eastAsia="Arial" w:hAnsi="Arial" w:cs="Arial"/>
          <w:color w:val="000000"/>
          <w:sz w:val="20"/>
          <w:szCs w:val="20"/>
        </w:rPr>
        <w:t xml:space="preserve">. </w:t>
      </w:r>
    </w:p>
    <w:p w14:paraId="4E7C010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repactuações não interferem no direito das partes de solicitar, a qualquer momento, a manutenção do equilíbrio eco</w:t>
      </w:r>
      <w:r>
        <w:rPr>
          <w:rFonts w:ascii="Arial" w:eastAsia="Arial" w:hAnsi="Arial" w:cs="Arial"/>
          <w:color w:val="000000"/>
          <w:sz w:val="20"/>
          <w:szCs w:val="20"/>
        </w:rPr>
        <w:t>nômico dos contratos com base no disposto no art. 124, inciso II, alínea “d”, da Lei nº 14.133, de 2021.</w:t>
      </w:r>
    </w:p>
    <w:p w14:paraId="0641288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contratado deverá complementar a garantia contratual anteriormente prestada, de modo que se mantenha a proporção inicial em relação ao valor contrata</w:t>
      </w:r>
      <w:r>
        <w:rPr>
          <w:rFonts w:ascii="Arial" w:eastAsia="Arial" w:hAnsi="Arial" w:cs="Arial"/>
          <w:color w:val="000000"/>
          <w:sz w:val="20"/>
          <w:szCs w:val="20"/>
        </w:rPr>
        <w:t xml:space="preserve">do. </w:t>
      </w:r>
    </w:p>
    <w:p w14:paraId="0CBC0CC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majoração da tarifa de transporte público gera a possibilidade de revisão do item relativo aos valores pagos a título de vale-transporte, constante da Planilha de Custos e Formação de Preços do presente Contrato, desde que comprovada pelo contratado</w:t>
      </w:r>
      <w:r>
        <w:rPr>
          <w:rFonts w:ascii="Arial" w:eastAsia="Arial" w:hAnsi="Arial" w:cs="Arial"/>
          <w:color w:val="000000"/>
          <w:sz w:val="20"/>
          <w:szCs w:val="20"/>
        </w:rPr>
        <w:t xml:space="preserve"> a sua efetiva repercussão sobre os preços contratados.</w:t>
      </w:r>
    </w:p>
    <w:p w14:paraId="2543B478"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 revisão dos custos relativos ao vale-transporte será formalizada por </w:t>
      </w:r>
      <w:proofErr w:type="spellStart"/>
      <w:r>
        <w:rPr>
          <w:rFonts w:ascii="Arial" w:eastAsia="Arial" w:hAnsi="Arial" w:cs="Arial"/>
          <w:color w:val="000000"/>
          <w:sz w:val="20"/>
          <w:szCs w:val="20"/>
        </w:rPr>
        <w:t>apostilamento</w:t>
      </w:r>
      <w:proofErr w:type="spellEnd"/>
      <w:r>
        <w:rPr>
          <w:rFonts w:ascii="Arial" w:eastAsia="Arial" w:hAnsi="Arial" w:cs="Arial"/>
          <w:color w:val="000000"/>
          <w:sz w:val="20"/>
          <w:szCs w:val="20"/>
        </w:rPr>
        <w:t xml:space="preserve">. </w:t>
      </w:r>
    </w:p>
    <w:p w14:paraId="316F2893"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 xml:space="preserve">CLÁUSULA OITAVA - OBRIGAÇÕES DO CONTRATANTE </w:t>
      </w:r>
      <w:hyperlink r:id="rId12" w:anchor="art92">
        <w:r>
          <w:rPr>
            <w:rFonts w:ascii="Arial" w:eastAsia="Arial" w:hAnsi="Arial" w:cs="Arial"/>
            <w:b/>
            <w:color w:val="000080"/>
            <w:sz w:val="20"/>
            <w:szCs w:val="20"/>
            <w:u w:val="single"/>
          </w:rPr>
          <w:t>(art. 92, X, XI e XIV</w:t>
        </w:r>
      </w:hyperlink>
      <w:r>
        <w:rPr>
          <w:rFonts w:ascii="Arial" w:eastAsia="Arial" w:hAnsi="Arial" w:cs="Arial"/>
          <w:b/>
          <w:color w:val="000000"/>
          <w:sz w:val="20"/>
          <w:szCs w:val="20"/>
        </w:rPr>
        <w:t>)</w:t>
      </w:r>
    </w:p>
    <w:p w14:paraId="1074661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São obrigações do Contratante:</w:t>
      </w:r>
    </w:p>
    <w:p w14:paraId="5C7D86A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Exigir o cumprimento de todas as obrigações assumidas pelo Contratado, de acordo com o contrato e seus </w:t>
      </w:r>
      <w:r>
        <w:rPr>
          <w:rFonts w:ascii="Arial" w:eastAsia="Arial" w:hAnsi="Arial" w:cs="Arial"/>
          <w:color w:val="000000"/>
          <w:sz w:val="20"/>
          <w:szCs w:val="20"/>
        </w:rPr>
        <w:t>anexos;</w:t>
      </w:r>
    </w:p>
    <w:p w14:paraId="56A2952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Receber o objeto no prazo e condições estabelecidas no Termo de Referência;</w:t>
      </w:r>
    </w:p>
    <w:p w14:paraId="3640914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Notificar o Contratado, por escrito, sobre vícios, defeitos ou incorreções verificadas no objeto fornecido, para que seja por ele substituído, reparado ou corrigido, no tot</w:t>
      </w:r>
      <w:r>
        <w:rPr>
          <w:rFonts w:ascii="Arial" w:eastAsia="Arial" w:hAnsi="Arial" w:cs="Arial"/>
          <w:color w:val="000000"/>
          <w:sz w:val="20"/>
          <w:szCs w:val="20"/>
        </w:rPr>
        <w:t>al ou em parte, às suas expensas;</w:t>
      </w:r>
    </w:p>
    <w:p w14:paraId="6612D6D1"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Acompanhar e fiscalizar a execução do contrato e o cumprimento das obrigações pelo Contratado;</w:t>
      </w:r>
    </w:p>
    <w:p w14:paraId="7BC7F15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Comunicar a empresa para emissão de Nota Fiscal relativa à parcela incontroversa da execução do objeto, para efeito de liquidaç</w:t>
      </w:r>
      <w:r>
        <w:rPr>
          <w:rFonts w:ascii="Arial" w:eastAsia="Arial" w:hAnsi="Arial" w:cs="Arial"/>
          <w:color w:val="000000"/>
          <w:sz w:val="20"/>
          <w:szCs w:val="20"/>
        </w:rPr>
        <w:t>ão e pagamento, quando houver controvérsia sobre a execução do objeto, quanto à dimensão, qualidade e quantidade, conforme o art. 143 da Lei nº 14.133, de 2021;</w:t>
      </w:r>
    </w:p>
    <w:p w14:paraId="408228D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Efetuar o pagamento ao Contratado do valor correspondente à execução do objeto, no prazo, forma</w:t>
      </w:r>
      <w:r>
        <w:rPr>
          <w:rFonts w:ascii="Arial" w:eastAsia="Arial" w:hAnsi="Arial" w:cs="Arial"/>
          <w:color w:val="000000"/>
          <w:sz w:val="20"/>
          <w:szCs w:val="20"/>
        </w:rPr>
        <w:t xml:space="preserve"> e condições estabelecidos no presente Contrato e no Termo de Referência;</w:t>
      </w:r>
    </w:p>
    <w:p w14:paraId="5C6492C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Aplicar ao Contratado as sanções previstas na lei e neste Contrato; </w:t>
      </w:r>
    </w:p>
    <w:p w14:paraId="196070C8"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Não praticar atos de ingerência na administração do contratado, tais como (art. 48 da Lei </w:t>
      </w:r>
      <w:proofErr w:type="gramStart"/>
      <w:r>
        <w:rPr>
          <w:rFonts w:ascii="Arial" w:eastAsia="Arial" w:hAnsi="Arial" w:cs="Arial"/>
          <w:color w:val="000000"/>
          <w:sz w:val="20"/>
          <w:szCs w:val="20"/>
        </w:rPr>
        <w:t>n.º</w:t>
      </w:r>
      <w:proofErr w:type="gramEnd"/>
      <w:r>
        <w:rPr>
          <w:rFonts w:ascii="Arial" w:eastAsia="Arial" w:hAnsi="Arial" w:cs="Arial"/>
          <w:color w:val="000000"/>
          <w:sz w:val="20"/>
          <w:szCs w:val="20"/>
        </w:rPr>
        <w:t xml:space="preserve"> 14.133/2021):</w:t>
      </w:r>
    </w:p>
    <w:p w14:paraId="23D365E0"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indicar</w:t>
      </w:r>
      <w:proofErr w:type="gramEnd"/>
      <w:r>
        <w:rPr>
          <w:rFonts w:ascii="Arial" w:eastAsia="Arial" w:hAnsi="Arial" w:cs="Arial"/>
          <w:color w:val="000000"/>
          <w:sz w:val="20"/>
          <w:szCs w:val="20"/>
        </w:rPr>
        <w:t xml:space="preserve"> pessoas expressamente nominadas para executar direta ou indiretamente o objeto contratado;</w:t>
      </w:r>
    </w:p>
    <w:p w14:paraId="7FF80535"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fixar</w:t>
      </w:r>
      <w:proofErr w:type="gramEnd"/>
      <w:r>
        <w:rPr>
          <w:rFonts w:ascii="Arial" w:eastAsia="Arial" w:hAnsi="Arial" w:cs="Arial"/>
          <w:color w:val="000000"/>
          <w:sz w:val="20"/>
          <w:szCs w:val="20"/>
        </w:rPr>
        <w:t xml:space="preserve"> salário inferior ao definido em lei ou em ato normativo a ser pago pelo contratado;</w:t>
      </w:r>
    </w:p>
    <w:p w14:paraId="68ECC35A"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estabelecer</w:t>
      </w:r>
      <w:proofErr w:type="gramEnd"/>
      <w:r>
        <w:rPr>
          <w:rFonts w:ascii="Arial" w:eastAsia="Arial" w:hAnsi="Arial" w:cs="Arial"/>
          <w:color w:val="000000"/>
          <w:sz w:val="20"/>
          <w:szCs w:val="20"/>
        </w:rPr>
        <w:t xml:space="preserve"> vínculo de subordinação com funcionário do contratado;</w:t>
      </w:r>
    </w:p>
    <w:p w14:paraId="5E0F52B2"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definir</w:t>
      </w:r>
      <w:proofErr w:type="gramEnd"/>
      <w:r>
        <w:rPr>
          <w:rFonts w:ascii="Arial" w:eastAsia="Arial" w:hAnsi="Arial" w:cs="Arial"/>
          <w:color w:val="000000"/>
          <w:sz w:val="20"/>
          <w:szCs w:val="20"/>
        </w:rPr>
        <w:t xml:space="preserve"> forma de pagamento mediante exclusivo reembolso dos salários pagos;</w:t>
      </w:r>
    </w:p>
    <w:p w14:paraId="0CE4724D"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demandar</w:t>
      </w:r>
      <w:proofErr w:type="gramEnd"/>
      <w:r>
        <w:rPr>
          <w:rFonts w:ascii="Arial" w:eastAsia="Arial" w:hAnsi="Arial" w:cs="Arial"/>
          <w:color w:val="000000"/>
          <w:sz w:val="20"/>
          <w:szCs w:val="20"/>
        </w:rPr>
        <w:t xml:space="preserve"> a funcionário do contratado a execução de tarefas fora do escopo do objeto da contratação;</w:t>
      </w:r>
    </w:p>
    <w:p w14:paraId="33019C36"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prever</w:t>
      </w:r>
      <w:proofErr w:type="gramEnd"/>
      <w:r>
        <w:rPr>
          <w:rFonts w:ascii="Arial" w:eastAsia="Arial" w:hAnsi="Arial" w:cs="Arial"/>
          <w:color w:val="000000"/>
          <w:sz w:val="20"/>
          <w:szCs w:val="20"/>
        </w:rPr>
        <w:t xml:space="preserve"> exigências que constituam intervenção indevida da Administração na gestã</w:t>
      </w:r>
      <w:r>
        <w:rPr>
          <w:rFonts w:ascii="Arial" w:eastAsia="Arial" w:hAnsi="Arial" w:cs="Arial"/>
          <w:color w:val="000000"/>
          <w:sz w:val="20"/>
          <w:szCs w:val="20"/>
        </w:rPr>
        <w:t>o interna do contratado.</w:t>
      </w:r>
    </w:p>
    <w:p w14:paraId="5FD28BD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Cientificar o órgão de representação judicial da Advocacia-Geral da União para adoção das medidas cabíveis quando do descumprimento de obrigações pelo Contratado;</w:t>
      </w:r>
    </w:p>
    <w:p w14:paraId="2B4BE19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Explicitamente emitir decisão sobre todas as solicitações e reclamaç</w:t>
      </w:r>
      <w:r>
        <w:rPr>
          <w:rFonts w:ascii="Arial" w:eastAsia="Arial" w:hAnsi="Arial" w:cs="Arial"/>
          <w:color w:val="000000"/>
          <w:sz w:val="20"/>
          <w:szCs w:val="20"/>
        </w:rPr>
        <w:t>ões relacionadas à execução do presente Contrato, ressalvados os requerimentos manifestamente impertinentes, meramente protelatórios ou de nenhum interesse par</w:t>
      </w:r>
      <w:r>
        <w:rPr>
          <w:rFonts w:ascii="Arial" w:eastAsia="Arial" w:hAnsi="Arial" w:cs="Arial"/>
          <w:sz w:val="20"/>
          <w:szCs w:val="20"/>
        </w:rPr>
        <w:t>a a boa execução do ajuste.</w:t>
      </w:r>
    </w:p>
    <w:p w14:paraId="19195A6F" w14:textId="77777777" w:rsidR="00447FAF" w:rsidRDefault="00865351">
      <w:pPr>
        <w:numPr>
          <w:ilvl w:val="2"/>
          <w:numId w:val="1"/>
        </w:numPr>
        <w:pBdr>
          <w:top w:val="nil"/>
          <w:left w:val="nil"/>
          <w:bottom w:val="nil"/>
          <w:right w:val="nil"/>
          <w:between w:val="nil"/>
        </w:pBdr>
        <w:spacing w:before="120" w:after="120" w:line="276" w:lineRule="auto"/>
        <w:jc w:val="both"/>
        <w:rPr>
          <w:sz w:val="20"/>
          <w:szCs w:val="20"/>
        </w:rPr>
      </w:pPr>
      <w:bookmarkStart w:id="2" w:name="_heading=h.30j0zll" w:colFirst="0" w:colLast="0"/>
      <w:bookmarkEnd w:id="2"/>
      <w:r>
        <w:rPr>
          <w:rFonts w:ascii="Arial" w:eastAsia="Arial" w:hAnsi="Arial" w:cs="Arial"/>
          <w:sz w:val="20"/>
          <w:szCs w:val="20"/>
        </w:rPr>
        <w:t xml:space="preserve"> A Administração terá o prazo de</w:t>
      </w:r>
      <w:r>
        <w:rPr>
          <w:rFonts w:ascii="Arial" w:eastAsia="Arial" w:hAnsi="Arial" w:cs="Arial"/>
          <w:i/>
          <w:sz w:val="20"/>
          <w:szCs w:val="20"/>
        </w:rPr>
        <w:t xml:space="preserve"> </w:t>
      </w:r>
      <w:r>
        <w:rPr>
          <w:rFonts w:ascii="Arial" w:eastAsia="Arial" w:hAnsi="Arial" w:cs="Arial"/>
          <w:sz w:val="20"/>
          <w:szCs w:val="20"/>
        </w:rPr>
        <w:t>30 (trinta) dias, a contar da data d</w:t>
      </w:r>
      <w:r>
        <w:rPr>
          <w:rFonts w:ascii="Arial" w:eastAsia="Arial" w:hAnsi="Arial" w:cs="Arial"/>
          <w:sz w:val="20"/>
          <w:szCs w:val="20"/>
        </w:rPr>
        <w:t xml:space="preserve">o protocolo do requerimento para decidir, admitida a prorrogação motivada, por igual período. </w:t>
      </w:r>
    </w:p>
    <w:p w14:paraId="7CAF173B"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Responder eventuais pedidos de reestabelecimento do equilíbrio econômico-financeiro feitos pelo contratado no prazo máximo de 30 (trinta) dias.</w:t>
      </w:r>
    </w:p>
    <w:p w14:paraId="641B3A80"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bookmarkStart w:id="3" w:name="_heading=h.1fob9te" w:colFirst="0" w:colLast="0"/>
      <w:bookmarkEnd w:id="3"/>
      <w:r>
        <w:rPr>
          <w:rFonts w:ascii="Arial" w:eastAsia="Arial" w:hAnsi="Arial" w:cs="Arial"/>
          <w:sz w:val="20"/>
          <w:szCs w:val="20"/>
        </w:rPr>
        <w:t xml:space="preserve">Notificar os </w:t>
      </w:r>
      <w:r>
        <w:rPr>
          <w:rFonts w:ascii="Arial" w:eastAsia="Arial" w:hAnsi="Arial" w:cs="Arial"/>
          <w:sz w:val="20"/>
          <w:szCs w:val="20"/>
        </w:rPr>
        <w:t>emitentes das garantias quanto ao início de processo administrativo para apuração de descumprimento de cláusulas contratuais (§4º, do art. 137, da</w:t>
      </w:r>
      <w:r>
        <w:rPr>
          <w:rFonts w:ascii="Arial" w:eastAsia="Arial" w:hAnsi="Arial" w:cs="Arial"/>
          <w:color w:val="000000"/>
          <w:sz w:val="20"/>
          <w:szCs w:val="20"/>
        </w:rPr>
        <w:t xml:space="preserve"> Lei nº 14.133, de 2021). </w:t>
      </w:r>
    </w:p>
    <w:p w14:paraId="03A03B5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Administração não responderá por quaisquer compromissos assumidos pelo Contratado</w:t>
      </w:r>
      <w:r>
        <w:rPr>
          <w:rFonts w:ascii="Arial" w:eastAsia="Arial" w:hAnsi="Arial" w:cs="Arial"/>
          <w:color w:val="000000"/>
          <w:sz w:val="20"/>
          <w:szCs w:val="20"/>
        </w:rPr>
        <w:t xml:space="preserve"> com terceiros, ainda que vinculados à execução do contrato, bem como por qualquer dano causado a terceiros em decorrência de ato do Contratado, de seus empregados, prepostos ou subordinados.</w:t>
      </w:r>
    </w:p>
    <w:p w14:paraId="35101460"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NONA - OBRIGAÇÕES DO CONTRATADO (</w:t>
      </w:r>
      <w:hyperlink r:id="rId13" w:anchor="art92">
        <w:r>
          <w:rPr>
            <w:rFonts w:ascii="Arial" w:eastAsia="Arial" w:hAnsi="Arial" w:cs="Arial"/>
            <w:b/>
            <w:color w:val="000080"/>
            <w:sz w:val="20"/>
            <w:szCs w:val="20"/>
            <w:u w:val="single"/>
          </w:rPr>
          <w:t>art. 92, XIV, XVI e XVII</w:t>
        </w:r>
      </w:hyperlink>
      <w:r>
        <w:rPr>
          <w:rFonts w:ascii="Arial" w:eastAsia="Arial" w:hAnsi="Arial" w:cs="Arial"/>
          <w:b/>
          <w:color w:val="000000"/>
          <w:sz w:val="20"/>
          <w:szCs w:val="20"/>
        </w:rPr>
        <w:t>)</w:t>
      </w:r>
    </w:p>
    <w:p w14:paraId="44EA761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Contratado deve cumprir todas as obrigações constantes deste Contrato e de seus anexos, assumindo como exclusivamente seus os ris</w:t>
      </w:r>
      <w:r>
        <w:rPr>
          <w:rFonts w:ascii="Arial" w:eastAsia="Arial" w:hAnsi="Arial" w:cs="Arial"/>
          <w:color w:val="000000"/>
          <w:sz w:val="20"/>
          <w:szCs w:val="20"/>
        </w:rPr>
        <w:t>cos e as despesas decorrentes da boa e perfeita execução do objeto, observando, ainda, as obrigações a seguir dispostas:</w:t>
      </w:r>
    </w:p>
    <w:p w14:paraId="71C0908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Manter preposto aceito pela Administração no local da obra ou do serviço para representá-lo na execução do contrato.</w:t>
      </w:r>
    </w:p>
    <w:p w14:paraId="0374FB16"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indicação ou a m</w:t>
      </w:r>
      <w:r>
        <w:rPr>
          <w:rFonts w:ascii="Arial" w:eastAsia="Arial" w:hAnsi="Arial" w:cs="Arial"/>
          <w:color w:val="000000"/>
          <w:sz w:val="20"/>
          <w:szCs w:val="20"/>
        </w:rPr>
        <w:t>anutenção do preposto da empresa poderá ser recusada pelo órgão ou entidade, desde que devidamente justificada, devendo a empresa designar outro para o exercício da atividade.</w:t>
      </w:r>
    </w:p>
    <w:p w14:paraId="39D13A7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Atender às determinações regulares emitidas pelo fiscal do contrato ou autoridad</w:t>
      </w:r>
      <w:r>
        <w:rPr>
          <w:rFonts w:ascii="Arial" w:eastAsia="Arial" w:hAnsi="Arial" w:cs="Arial"/>
          <w:color w:val="000000"/>
          <w:sz w:val="20"/>
          <w:szCs w:val="20"/>
        </w:rPr>
        <w:t>e superior (</w:t>
      </w:r>
      <w:hyperlink r:id="rId14" w:anchor="art137">
        <w:r>
          <w:rPr>
            <w:rFonts w:ascii="Arial" w:eastAsia="Arial" w:hAnsi="Arial" w:cs="Arial"/>
            <w:color w:val="000080"/>
            <w:sz w:val="20"/>
            <w:szCs w:val="20"/>
            <w:u w:val="single"/>
          </w:rPr>
          <w:t>art. 137, II</w:t>
        </w:r>
      </w:hyperlink>
      <w:r>
        <w:rPr>
          <w:rFonts w:ascii="Arial" w:eastAsia="Arial" w:hAnsi="Arial" w:cs="Arial"/>
          <w:color w:val="000000"/>
          <w:sz w:val="20"/>
          <w:szCs w:val="20"/>
        </w:rPr>
        <w:t>) e prestar todo esclarecimento ou informação por eles solicitados;</w:t>
      </w:r>
    </w:p>
    <w:p w14:paraId="2ABC6E9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Alocar os empregados necessários ao perfeito cumprimento das c</w:t>
      </w:r>
      <w:r>
        <w:rPr>
          <w:rFonts w:ascii="Arial" w:eastAsia="Arial" w:hAnsi="Arial" w:cs="Arial"/>
          <w:color w:val="000000"/>
          <w:sz w:val="20"/>
          <w:szCs w:val="20"/>
        </w:rPr>
        <w:t>láusulas deste contrato, com habilitação e conhecimento adequados, fornecendo os materiais, equipamentos, ferramentas e utensílios demandados, cuja quantidade, qualidade e tecnologia deverão atender às recomendações de boa técnica e a legislação de regênci</w:t>
      </w:r>
      <w:r>
        <w:rPr>
          <w:rFonts w:ascii="Arial" w:eastAsia="Arial" w:hAnsi="Arial" w:cs="Arial"/>
          <w:color w:val="000000"/>
          <w:sz w:val="20"/>
          <w:szCs w:val="20"/>
        </w:rPr>
        <w:t>a;</w:t>
      </w:r>
    </w:p>
    <w:p w14:paraId="19EACF9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w:t>
      </w:r>
      <w:r>
        <w:rPr>
          <w:rFonts w:ascii="Arial" w:eastAsia="Arial" w:hAnsi="Arial" w:cs="Arial"/>
          <w:color w:val="000000"/>
          <w:sz w:val="20"/>
          <w:szCs w:val="20"/>
        </w:rPr>
        <w:t>dos;</w:t>
      </w:r>
    </w:p>
    <w:p w14:paraId="602B046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Responsabilizar-se pelos vícios e danos decorrentes da execução do objeto, de acordo com o </w:t>
      </w:r>
      <w:hyperlink r:id="rId15">
        <w:r>
          <w:rPr>
            <w:rFonts w:ascii="Arial" w:eastAsia="Arial" w:hAnsi="Arial" w:cs="Arial"/>
            <w:color w:val="000080"/>
            <w:sz w:val="20"/>
            <w:szCs w:val="20"/>
            <w:u w:val="single"/>
          </w:rPr>
          <w:t>Código de Defesa do Consumidor (Lei nº 8.078, de 1990</w:t>
        </w:r>
      </w:hyperlink>
      <w:r>
        <w:rPr>
          <w:rFonts w:ascii="Arial" w:eastAsia="Arial" w:hAnsi="Arial" w:cs="Arial"/>
          <w:color w:val="000000"/>
          <w:sz w:val="20"/>
          <w:szCs w:val="20"/>
        </w:rPr>
        <w:t>), bem como por todo e qua</w:t>
      </w:r>
      <w:r>
        <w:rPr>
          <w:rFonts w:ascii="Arial" w:eastAsia="Arial" w:hAnsi="Arial" w:cs="Arial"/>
          <w:color w:val="000000"/>
          <w:sz w:val="20"/>
          <w:szCs w:val="20"/>
        </w:rPr>
        <w:t>lquer dano causado à Administração ou terceiros, não reduzindo essa responsabilidade a fiscalização ou o acompanhamento da execução contratual pelo Contratante, que ficará autorizado a descontar dos pagamentos devidos ou da garantia, caso exigida no edital</w:t>
      </w:r>
      <w:r>
        <w:rPr>
          <w:rFonts w:ascii="Arial" w:eastAsia="Arial" w:hAnsi="Arial" w:cs="Arial"/>
          <w:color w:val="000000"/>
          <w:sz w:val="20"/>
          <w:szCs w:val="20"/>
        </w:rPr>
        <w:t>, o valor correspondente aos danos sofridos;</w:t>
      </w:r>
    </w:p>
    <w:p w14:paraId="6D5421B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Não contratar, durante a vigência do contrato, cônjuge, companheiro ou parente em linha reta, colateral ou por afinidade, até o terceiro grau, de dirigente do contratante ou de agente público que tenha desempenh</w:t>
      </w:r>
      <w:r>
        <w:rPr>
          <w:rFonts w:ascii="Arial" w:eastAsia="Arial" w:hAnsi="Arial" w:cs="Arial"/>
          <w:color w:val="000000"/>
          <w:sz w:val="20"/>
          <w:szCs w:val="20"/>
        </w:rPr>
        <w:t xml:space="preserve">ado função na licitação ou que atue na fiscalização ou gestão do contrato, nos termos do </w:t>
      </w:r>
      <w:hyperlink r:id="rId16" w:anchor="art48">
        <w:r>
          <w:rPr>
            <w:rFonts w:ascii="Arial" w:eastAsia="Arial" w:hAnsi="Arial" w:cs="Arial"/>
            <w:color w:val="000080"/>
            <w:sz w:val="20"/>
            <w:szCs w:val="20"/>
            <w:u w:val="single"/>
          </w:rPr>
          <w:t>artigo 48, parágrafo único, da Lei nº 14.133, de 2021</w:t>
        </w:r>
      </w:hyperlink>
      <w:r>
        <w:rPr>
          <w:rFonts w:ascii="Arial" w:eastAsia="Arial" w:hAnsi="Arial" w:cs="Arial"/>
          <w:color w:val="000000"/>
          <w:sz w:val="20"/>
          <w:szCs w:val="20"/>
        </w:rPr>
        <w:t>;</w:t>
      </w:r>
    </w:p>
    <w:p w14:paraId="4F9DEB21"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Vedar a </w:t>
      </w:r>
      <w:r>
        <w:rPr>
          <w:rFonts w:ascii="Arial" w:eastAsia="Arial" w:hAnsi="Arial" w:cs="Arial"/>
          <w:color w:val="000000"/>
          <w:sz w:val="20"/>
          <w:szCs w:val="20"/>
        </w:rPr>
        <w:t>utilização, na execução dos serviços, de empregado que seja familiar de agente público ocupante de cargo em comissão ou função de confiança no órgão contratante, nos termos do artigo 7° do Decreto n° 7.203, de 2010;</w:t>
      </w:r>
    </w:p>
    <w:p w14:paraId="78522AD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não for possível a verificação da</w:t>
      </w:r>
      <w:r>
        <w:rPr>
          <w:rFonts w:ascii="Arial" w:eastAsia="Arial" w:hAnsi="Arial" w:cs="Arial"/>
          <w:color w:val="000000"/>
          <w:sz w:val="20"/>
          <w:szCs w:val="20"/>
        </w:rPr>
        <w:t xml:space="preserve"> regularidade no Sistema de Cadastro de Fornecedores – SICAF, o contratado deverá entregar ao setor responsável pela fiscalização do contrato, até o dia trinta do mês seguinte ao da prestação dos serviços, os seguintes documentos: 1) prova de regularidade </w:t>
      </w:r>
      <w:r>
        <w:rPr>
          <w:rFonts w:ascii="Arial" w:eastAsia="Arial" w:hAnsi="Arial" w:cs="Arial"/>
          <w:color w:val="000000"/>
          <w:sz w:val="20"/>
          <w:szCs w:val="20"/>
        </w:rPr>
        <w:t xml:space="preserve">relativa à Seguridade Social; 2) certidão conjunta relativa aos tributos federais e à Dívida Ativa da União; 3) certidões que comprovem a regularidade perante a Fazenda Municipal ou Distrital do domicílio ou sede do contratado; 4) Certidão de Regularidade </w:t>
      </w:r>
      <w:r>
        <w:rPr>
          <w:rFonts w:ascii="Arial" w:eastAsia="Arial" w:hAnsi="Arial" w:cs="Arial"/>
          <w:color w:val="000000"/>
          <w:sz w:val="20"/>
          <w:szCs w:val="20"/>
        </w:rPr>
        <w:t xml:space="preserve">do FGTS – CRF; e 5) Certidão Negativa de Débitos Trabalhistas – CNDT; </w:t>
      </w:r>
    </w:p>
    <w:p w14:paraId="0341D8B1"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Responsabilizar-se pelo cumprimento das obrigações previstas em Acordo, Convenção, Dissídio Coletivo de Trabalho ou equivalentes das categorias abrangidas pelo contrato, por todas as ob</w:t>
      </w:r>
      <w:r>
        <w:rPr>
          <w:rFonts w:ascii="Arial" w:eastAsia="Arial" w:hAnsi="Arial" w:cs="Arial"/>
          <w:color w:val="000000"/>
          <w:sz w:val="20"/>
          <w:szCs w:val="20"/>
        </w:rPr>
        <w:t xml:space="preserve">rigações trabalhistas, sociais, previdenciárias, tributárias e as demais previstas em legislação específica, cuja inadimplência não transfere a responsabilidade ao Contratante; </w:t>
      </w:r>
    </w:p>
    <w:p w14:paraId="1022B17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Comunicar ao Fiscal do contrato, no prazo de 24 (vinte e quatro) horas, </w:t>
      </w:r>
      <w:r>
        <w:rPr>
          <w:rFonts w:ascii="Arial" w:eastAsia="Arial" w:hAnsi="Arial" w:cs="Arial"/>
          <w:color w:val="000000"/>
          <w:sz w:val="20"/>
          <w:szCs w:val="20"/>
        </w:rPr>
        <w:t>qualquer ocorrência anormal ou acidente que se verifique no local dos serviços.</w:t>
      </w:r>
    </w:p>
    <w:p w14:paraId="1DFF717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Prestar todo esclarecimento ou informação solicitada pelo Contratante ou por seus prepostos, garantindo-lhes o acesso, a qualquer tempo, ao local dos trabalhos, bem como aos do</w:t>
      </w:r>
      <w:r>
        <w:rPr>
          <w:rFonts w:ascii="Arial" w:eastAsia="Arial" w:hAnsi="Arial" w:cs="Arial"/>
          <w:color w:val="000000"/>
          <w:sz w:val="20"/>
          <w:szCs w:val="20"/>
        </w:rPr>
        <w:t>cumentos relativos à execução do empreendimento.</w:t>
      </w:r>
    </w:p>
    <w:p w14:paraId="6BB17C8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Paralisar, por determinação do Contratante, qualquer atividade que não esteja sendo executada de acordo com a boa técnica ou que ponha em risco a segurança de pessoas ou bens de terceiros.</w:t>
      </w:r>
    </w:p>
    <w:p w14:paraId="130463F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Promover a guarda,</w:t>
      </w:r>
      <w:r>
        <w:rPr>
          <w:rFonts w:ascii="Arial" w:eastAsia="Arial" w:hAnsi="Arial" w:cs="Arial"/>
          <w:color w:val="000000"/>
          <w:sz w:val="20"/>
          <w:szCs w:val="20"/>
        </w:rPr>
        <w:t xml:space="preserve"> manutenção e vigilância de materiais, ferramentas, e tudo o que for necessário à execução do objeto, durante a vigência do contrato.</w:t>
      </w:r>
    </w:p>
    <w:p w14:paraId="2A7C223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Conduzir os trabalhos com estrita observância às normas da legislação pertinente, cumprindo as determinações dos Poderes P</w:t>
      </w:r>
      <w:r>
        <w:rPr>
          <w:rFonts w:ascii="Arial" w:eastAsia="Arial" w:hAnsi="Arial" w:cs="Arial"/>
          <w:color w:val="000000"/>
          <w:sz w:val="20"/>
          <w:szCs w:val="20"/>
        </w:rPr>
        <w:t>úblicos, mantendo sempre limpo o local dos serviços e nas melhores condições de segurança, higiene e disciplina.</w:t>
      </w:r>
    </w:p>
    <w:p w14:paraId="7738B0B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Submeter previamente, por escrito, ao Contratante, para análise e aprovação, quaisquer mudanças nos métodos executivos que fujam às especificaç</w:t>
      </w:r>
      <w:r>
        <w:rPr>
          <w:rFonts w:ascii="Arial" w:eastAsia="Arial" w:hAnsi="Arial" w:cs="Arial"/>
          <w:color w:val="000000"/>
          <w:sz w:val="20"/>
          <w:szCs w:val="20"/>
        </w:rPr>
        <w:t>ões do memorial descritivo ou instrumento congênere.</w:t>
      </w:r>
    </w:p>
    <w:p w14:paraId="54E0C43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Não permitir a utilização de qualquer trabalho do menor de dezesseis anos, exceto na condição de aprendiz para os maiores de quatorze anos, nem permitir a utilização do trabalho do menor de dezoito anos </w:t>
      </w:r>
      <w:r>
        <w:rPr>
          <w:rFonts w:ascii="Arial" w:eastAsia="Arial" w:hAnsi="Arial" w:cs="Arial"/>
          <w:color w:val="000000"/>
          <w:sz w:val="20"/>
          <w:szCs w:val="20"/>
        </w:rPr>
        <w:t>em trabalho noturno, perigoso ou insalubre;</w:t>
      </w:r>
    </w:p>
    <w:p w14:paraId="4DD50498"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Manter durante toda a vigência do contrato, em compatibilidade com as obrigações assumidas, todas as condições exigidas para habilitação na licitação; </w:t>
      </w:r>
    </w:p>
    <w:p w14:paraId="001E0A0C"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b/>
          <w:sz w:val="20"/>
          <w:szCs w:val="20"/>
        </w:rPr>
      </w:pPr>
      <w:r>
        <w:rPr>
          <w:rFonts w:ascii="Arial" w:eastAsia="Arial" w:hAnsi="Arial" w:cs="Arial"/>
          <w:color w:val="000000"/>
          <w:sz w:val="20"/>
          <w:szCs w:val="20"/>
        </w:rPr>
        <w:t xml:space="preserve">Cumprir, durante todo o período de execução do contrato, a </w:t>
      </w:r>
      <w:r>
        <w:rPr>
          <w:rFonts w:ascii="Arial" w:eastAsia="Arial" w:hAnsi="Arial" w:cs="Arial"/>
          <w:color w:val="000000"/>
          <w:sz w:val="20"/>
          <w:szCs w:val="20"/>
        </w:rPr>
        <w:t>reserva de cargos prevista em lei para pessoa com deficiência, para reabilitado da Previdência Social ou para aprendiz, bem como as reservas de cargos previstas na legislação (</w:t>
      </w:r>
      <w:hyperlink r:id="rId17" w:anchor="art116">
        <w:r>
          <w:rPr>
            <w:rFonts w:ascii="Arial" w:eastAsia="Arial" w:hAnsi="Arial" w:cs="Arial"/>
            <w:color w:val="000080"/>
            <w:sz w:val="20"/>
            <w:szCs w:val="20"/>
            <w:u w:val="single"/>
          </w:rPr>
          <w:t>art. 116</w:t>
        </w:r>
      </w:hyperlink>
      <w:r>
        <w:rPr>
          <w:rFonts w:ascii="Arial" w:eastAsia="Arial" w:hAnsi="Arial" w:cs="Arial"/>
          <w:color w:val="000000"/>
          <w:sz w:val="20"/>
          <w:szCs w:val="20"/>
        </w:rPr>
        <w:t>);</w:t>
      </w:r>
    </w:p>
    <w:p w14:paraId="1B74252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Comprovar a reserva de cargos a que se refere a cláusula acima, no prazo fixado pelo fiscal do contrato, com a indicação dos empregados que preencheram as referidas vagas (</w:t>
      </w:r>
      <w:hyperlink r:id="rId18" w:anchor="art116">
        <w:r>
          <w:rPr>
            <w:rFonts w:ascii="Arial" w:eastAsia="Arial" w:hAnsi="Arial" w:cs="Arial"/>
            <w:color w:val="000080"/>
            <w:sz w:val="20"/>
            <w:szCs w:val="20"/>
            <w:u w:val="single"/>
          </w:rPr>
          <w:t>art. 116, parágrafo único</w:t>
        </w:r>
      </w:hyperlink>
      <w:r>
        <w:rPr>
          <w:rFonts w:ascii="Arial" w:eastAsia="Arial" w:hAnsi="Arial" w:cs="Arial"/>
          <w:color w:val="000000"/>
          <w:sz w:val="20"/>
          <w:szCs w:val="20"/>
        </w:rPr>
        <w:t>);</w:t>
      </w:r>
    </w:p>
    <w:p w14:paraId="51C15AB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Guardar sigilo sobre todas as informações obtidas em decorrência do cumprimento do contrato; </w:t>
      </w:r>
    </w:p>
    <w:p w14:paraId="01C25D7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Arcar com o ônus decorrente de eventual equívoco no dimensionamento dos quantitativ</w:t>
      </w:r>
      <w:r>
        <w:rPr>
          <w:rFonts w:ascii="Arial" w:eastAsia="Arial" w:hAnsi="Arial" w:cs="Arial"/>
          <w:color w:val="000000"/>
          <w:sz w:val="20"/>
          <w:szCs w:val="20"/>
        </w:rPr>
        <w:t>os de sua proposta, inclusive quanto aos custos variáveis decorrentes de fatores futuros e incertos, devendo complementá-los, caso o previsto inicialmente em sua proposta não seja satisfatório para o atendimento do objeto da contratação, exceto quando ocor</w:t>
      </w:r>
      <w:r>
        <w:rPr>
          <w:rFonts w:ascii="Arial" w:eastAsia="Arial" w:hAnsi="Arial" w:cs="Arial"/>
          <w:color w:val="000000"/>
          <w:sz w:val="20"/>
          <w:szCs w:val="20"/>
        </w:rPr>
        <w:t xml:space="preserve">rer algum dos eventos arrolados no </w:t>
      </w:r>
      <w:hyperlink r:id="rId19" w:anchor="art124">
        <w:r>
          <w:rPr>
            <w:rFonts w:ascii="Arial" w:eastAsia="Arial" w:hAnsi="Arial" w:cs="Arial"/>
            <w:color w:val="000080"/>
            <w:sz w:val="20"/>
            <w:szCs w:val="20"/>
            <w:u w:val="single"/>
          </w:rPr>
          <w:t>art. 124, II, d, da Lei nº 14.133, de 2021</w:t>
        </w:r>
      </w:hyperlink>
      <w:r>
        <w:rPr>
          <w:rFonts w:ascii="Arial" w:eastAsia="Arial" w:hAnsi="Arial" w:cs="Arial"/>
          <w:color w:val="000000"/>
          <w:sz w:val="20"/>
          <w:szCs w:val="20"/>
        </w:rPr>
        <w:t>;</w:t>
      </w:r>
    </w:p>
    <w:p w14:paraId="1888C4E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Cumprir, além dos postulados legais vigentes de âmbito federal, estadual ou</w:t>
      </w:r>
      <w:r>
        <w:rPr>
          <w:rFonts w:ascii="Arial" w:eastAsia="Arial" w:hAnsi="Arial" w:cs="Arial"/>
          <w:color w:val="000000"/>
          <w:sz w:val="20"/>
          <w:szCs w:val="20"/>
        </w:rPr>
        <w:t xml:space="preserve"> municipal, as normas de segurança do Contratante;</w:t>
      </w:r>
    </w:p>
    <w:p w14:paraId="51F577A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Assegurar aos seus trabalhadores ambiente de trabalho, inclusive equipamentos e instalações, em condições adequadas ao cumprimento das normas de saúde, segurança e bem-estar no trabalho;</w:t>
      </w:r>
    </w:p>
    <w:p w14:paraId="50FC2DF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Garantir o acesso </w:t>
      </w:r>
      <w:r>
        <w:rPr>
          <w:rFonts w:ascii="Arial" w:eastAsia="Arial" w:hAnsi="Arial" w:cs="Arial"/>
          <w:color w:val="000000"/>
          <w:sz w:val="20"/>
          <w:szCs w:val="20"/>
        </w:rPr>
        <w:t>do contratante, a qualquer tempo, ao local dos trabalhos, bem como aos documentos relativos à execução do empreendimento;</w:t>
      </w:r>
    </w:p>
    <w:p w14:paraId="757B3C1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Promover a organização técnica e administrativa dos serviços, de modo a conduzi-los eficaz e eficientemente, de acordo com os document</w:t>
      </w:r>
      <w:r>
        <w:rPr>
          <w:rFonts w:ascii="Arial" w:eastAsia="Arial" w:hAnsi="Arial" w:cs="Arial"/>
          <w:color w:val="000000"/>
          <w:sz w:val="20"/>
          <w:szCs w:val="20"/>
        </w:rPr>
        <w:t>os e especificações que integram o Termo de Referência, no prazo determinado;</w:t>
      </w:r>
    </w:p>
    <w:p w14:paraId="13BCE10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Prestar os serviços dentro dos parâmetros e rotinas estabelecidos, fornecendo todos os materiais, equipamentos e utensílios em quantidade, qualidade e tecnologia adequadas, com a</w:t>
      </w:r>
      <w:r>
        <w:rPr>
          <w:rFonts w:ascii="Arial" w:eastAsia="Arial" w:hAnsi="Arial" w:cs="Arial"/>
          <w:color w:val="000000"/>
          <w:sz w:val="20"/>
          <w:szCs w:val="20"/>
        </w:rPr>
        <w:t xml:space="preserve"> observância às recomendações aceitas pela boa técnica, normas e legislação;</w:t>
      </w:r>
    </w:p>
    <w:p w14:paraId="50126718"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Disponibilizar ao contratante os empregados devidamente uniformizados e identificados por meio de crachá, além de provê-los com os Equipamentos de Proteção Individual - EPI, quand</w:t>
      </w:r>
      <w:r>
        <w:rPr>
          <w:rFonts w:ascii="Arial" w:eastAsia="Arial" w:hAnsi="Arial" w:cs="Arial"/>
          <w:color w:val="000000"/>
          <w:sz w:val="20"/>
          <w:szCs w:val="20"/>
        </w:rPr>
        <w:t>o for o caso;</w:t>
      </w:r>
    </w:p>
    <w:p w14:paraId="6D09E67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Fornecer os uniformes a serem utilizados por seus empregados, conforme disposto no Termo de Referência, sem repassar quaisquer custos a estes;</w:t>
      </w:r>
    </w:p>
    <w:p w14:paraId="2FDB993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Apresentar relação mensal dos empregados que expressamente optarem por não receber o </w:t>
      </w:r>
      <w:r>
        <w:rPr>
          <w:rFonts w:ascii="Arial" w:eastAsia="Arial" w:hAnsi="Arial" w:cs="Arial"/>
          <w:color w:val="000000"/>
          <w:sz w:val="20"/>
          <w:szCs w:val="20"/>
        </w:rPr>
        <w:t>vale-transporte;</w:t>
      </w:r>
    </w:p>
    <w:p w14:paraId="16924E38"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Efetuar o pagamento dos salários dos empregados alocados na execução contratual mediante depósito na conta bancária de titularidade do trabalhador, em agência situada na localidade ou região metropolitana em que ocorre a prestação dos serv</w:t>
      </w:r>
      <w:r>
        <w:rPr>
          <w:rFonts w:ascii="Arial" w:eastAsia="Arial" w:hAnsi="Arial" w:cs="Arial"/>
          <w:color w:val="000000"/>
          <w:sz w:val="20"/>
          <w:szCs w:val="20"/>
        </w:rPr>
        <w:t>iços, de modo a possibilitar a conferência do pagamento por parte da contratante. Em caso de impossibilidade de cumprimento desta disposição, o contratado deverá apresentar justificativa, a fim de que a Administração analise sua plausibilidade e possa veri</w:t>
      </w:r>
      <w:r>
        <w:rPr>
          <w:rFonts w:ascii="Arial" w:eastAsia="Arial" w:hAnsi="Arial" w:cs="Arial"/>
          <w:color w:val="000000"/>
          <w:sz w:val="20"/>
          <w:szCs w:val="20"/>
        </w:rPr>
        <w:t>ficar a realização do pagamento.</w:t>
      </w:r>
    </w:p>
    <w:p w14:paraId="05CF6F66"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Autorizar o contratante, no momento da assinatura do contrato, a fazer o desconto nas faturas e realizar os pagamentos dos salários e demais verbas trabalhistas diretamente aos trabalhadores, bem como das contribuições prev</w:t>
      </w:r>
      <w:r>
        <w:rPr>
          <w:rFonts w:ascii="Arial" w:eastAsia="Arial" w:hAnsi="Arial" w:cs="Arial"/>
          <w:color w:val="000000"/>
          <w:sz w:val="20"/>
          <w:szCs w:val="20"/>
        </w:rPr>
        <w:t>idenciárias e do FGTS, quando não demonstrado o cumprimento tempestivo e regular dessas obrigações, até o momento da regularização, sem prejuízo das sanções cabíveis;</w:t>
      </w:r>
    </w:p>
    <w:p w14:paraId="01F1404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Não permitir que o empregado designado para trabalhar em um turno preste seus serviços no</w:t>
      </w:r>
      <w:r>
        <w:rPr>
          <w:rFonts w:ascii="Arial" w:eastAsia="Arial" w:hAnsi="Arial" w:cs="Arial"/>
          <w:color w:val="000000"/>
          <w:sz w:val="20"/>
          <w:szCs w:val="20"/>
        </w:rPr>
        <w:t xml:space="preserve"> turno imediatamente subsequente;</w:t>
      </w:r>
    </w:p>
    <w:p w14:paraId="1F3A807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Atender às solicitações do contratante quanto à substituição dos empregados alocados, no prazo fixado pelo fiscal do contrato, nos casos em que ficar constatado descumprimento das obrigações relativas à execução do serviço</w:t>
      </w:r>
      <w:r>
        <w:rPr>
          <w:rFonts w:ascii="Arial" w:eastAsia="Arial" w:hAnsi="Arial" w:cs="Arial"/>
          <w:color w:val="000000"/>
          <w:sz w:val="20"/>
          <w:szCs w:val="20"/>
        </w:rPr>
        <w:t>, conforme descrito neste Termo de Referência;</w:t>
      </w:r>
    </w:p>
    <w:p w14:paraId="225F04F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Instruir seus empregados quanto à necessidade de acatar as normas internas da Administração;</w:t>
      </w:r>
    </w:p>
    <w:p w14:paraId="324E36E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Instruir seus empregados a respeito das atividades a serem desempenhadas, alertando-os a não executar atividades não</w:t>
      </w:r>
      <w:r>
        <w:rPr>
          <w:rFonts w:ascii="Arial" w:eastAsia="Arial" w:hAnsi="Arial" w:cs="Arial"/>
          <w:color w:val="000000"/>
          <w:sz w:val="20"/>
          <w:szCs w:val="20"/>
        </w:rPr>
        <w:t xml:space="preserve"> abrangidas pelo contrato, devendo o contratado relatar ao contratante toda e qualquer ocorrência neste sentido, a fim de evitar desvio de função;</w:t>
      </w:r>
    </w:p>
    <w:p w14:paraId="7D9CCDB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Instruir seus empregados, no início da execução contratual, quanto à obtenção das informações de seus interes</w:t>
      </w:r>
      <w:r>
        <w:rPr>
          <w:rFonts w:ascii="Arial" w:eastAsia="Arial" w:hAnsi="Arial" w:cs="Arial"/>
          <w:color w:val="000000"/>
          <w:sz w:val="20"/>
          <w:szCs w:val="20"/>
        </w:rPr>
        <w:t>ses junto aos órgãos públicos, relativas ao contrato de trabalho e obrigações a ele inerentes, adotando, entre outras, as seguintes medidas:</w:t>
      </w:r>
    </w:p>
    <w:p w14:paraId="038E216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Viabilizar o acesso de seus empregados, via internet, por meio de senha própria, aos sistemas da Previdência Social</w:t>
      </w:r>
      <w:r>
        <w:rPr>
          <w:rFonts w:ascii="Arial" w:eastAsia="Arial" w:hAnsi="Arial" w:cs="Arial"/>
          <w:color w:val="000000"/>
          <w:sz w:val="20"/>
          <w:szCs w:val="20"/>
        </w:rPr>
        <w:t xml:space="preserve"> e da Receita do Brasil, com o objetivo de verificar se as suas contribuições previdenciárias foram recolhidas, no prazo máximo de 60 (sessenta) dias, contados do início da prestação dos serviços ou da admissão do empregado;</w:t>
      </w:r>
    </w:p>
    <w:p w14:paraId="7EA55B5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Viabilizar a emissão do cartão </w:t>
      </w:r>
      <w:r>
        <w:rPr>
          <w:rFonts w:ascii="Arial" w:eastAsia="Arial" w:hAnsi="Arial" w:cs="Arial"/>
          <w:color w:val="000000"/>
          <w:sz w:val="20"/>
          <w:szCs w:val="20"/>
        </w:rPr>
        <w:t>cidadão pela Caixa Econômica Federal para todos os empregados, no prazo máximo de 60 (sessenta) dias, contados do início da prestação dos serviços ou da admissão do empregado;</w:t>
      </w:r>
    </w:p>
    <w:p w14:paraId="28AE056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Oferecer todos os meios necessários aos seus empregados para a obtenção de extra</w:t>
      </w:r>
      <w:r>
        <w:rPr>
          <w:rFonts w:ascii="Arial" w:eastAsia="Arial" w:hAnsi="Arial" w:cs="Arial"/>
          <w:color w:val="000000"/>
          <w:sz w:val="20"/>
          <w:szCs w:val="20"/>
        </w:rPr>
        <w:t>tos de recolhimentos de seus direitos sociais, preferencialmente por meio eletrônico, quando disponível.</w:t>
      </w:r>
    </w:p>
    <w:p w14:paraId="3712105E"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Não se beneficiar da condição de optante pelo Simples Nacional, salvo quando se tratar das exceções previstas no § 5º-C do art. 18 da Lei Complementar </w:t>
      </w:r>
      <w:r>
        <w:rPr>
          <w:rFonts w:ascii="Arial" w:eastAsia="Arial" w:hAnsi="Arial" w:cs="Arial"/>
          <w:color w:val="000000"/>
          <w:sz w:val="20"/>
          <w:szCs w:val="20"/>
        </w:rPr>
        <w:t xml:space="preserve">nº 123, de 14 de dezembro de 2006; </w:t>
      </w:r>
    </w:p>
    <w:p w14:paraId="4B0AB8B8"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Comunicar formalmente à Receita Federal a assinatura do contrato de prestação de serviços mediante cessão de mão de obra, para fins de exclusão obrigatória do Simples Nacional, a contar do mês seguinte ao da contratação,</w:t>
      </w:r>
      <w:r>
        <w:rPr>
          <w:rFonts w:ascii="Arial" w:eastAsia="Arial" w:hAnsi="Arial" w:cs="Arial"/>
          <w:color w:val="000000"/>
          <w:sz w:val="20"/>
          <w:szCs w:val="20"/>
        </w:rPr>
        <w:t xml:space="preserve"> conforme previsão do art.17, XII, art. 30, §1º, II, e do art. 31, II, todos da Lei Complementar nº 123/2006, salvo quando se tratar das exceções previstas no § 5º-C do art. 18 do mesmo diploma legal;</w:t>
      </w:r>
    </w:p>
    <w:p w14:paraId="755D4B20"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Para efeito de comprovação da comunicação, a contratado</w:t>
      </w:r>
      <w:r>
        <w:rPr>
          <w:rFonts w:ascii="Arial" w:eastAsia="Arial" w:hAnsi="Arial" w:cs="Arial"/>
          <w:color w:val="000000"/>
          <w:sz w:val="20"/>
          <w:szCs w:val="20"/>
        </w:rPr>
        <w:t xml:space="preserve"> deverá apresentar cópia do ofício enviado à Receita Federal do Brasil, com comprovante de entrega e recebimento, comunicando a assinatura do contrato de prestação de serviços mediante cessão de mão de obra, até o último dia útil do mês subsequente ao da o</w:t>
      </w:r>
      <w:r>
        <w:rPr>
          <w:rFonts w:ascii="Arial" w:eastAsia="Arial" w:hAnsi="Arial" w:cs="Arial"/>
          <w:color w:val="000000"/>
          <w:sz w:val="20"/>
          <w:szCs w:val="20"/>
        </w:rPr>
        <w:t>corrência da situação de vedação.</w:t>
      </w:r>
    </w:p>
    <w:p w14:paraId="1717F420"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Nos casos em que haja um número mínimo de vinte e cinco colaboradores alocados no contrato, destinar 8% das vagas exclusivamente para mulheres vítimas de violência doméstica;</w:t>
      </w:r>
    </w:p>
    <w:p w14:paraId="0CFD3FE0" w14:textId="77777777" w:rsidR="00447FAF" w:rsidRDefault="00865351">
      <w:pPr>
        <w:numPr>
          <w:ilvl w:val="2"/>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As vagas reservadas serão destinadas prioritari</w:t>
      </w:r>
      <w:r>
        <w:rPr>
          <w:rFonts w:ascii="Arial" w:eastAsia="Arial" w:hAnsi="Arial" w:cs="Arial"/>
          <w:sz w:val="20"/>
          <w:szCs w:val="20"/>
        </w:rPr>
        <w:t>amente para pretas e pardas, na proporção que essas mulheres representarem na unidade da federação da prestação do serviço segundo o último censo do IBGE, que no presente caso corresponde a 79,38% (Fonte: IBGE - Censo Demográfico - ano 2022).</w:t>
      </w:r>
    </w:p>
    <w:p w14:paraId="6A883C74" w14:textId="77777777" w:rsidR="00447FAF" w:rsidRDefault="00865351">
      <w:pPr>
        <w:numPr>
          <w:ilvl w:val="2"/>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 xml:space="preserve">Incluem-se </w:t>
      </w:r>
      <w:r>
        <w:rPr>
          <w:rFonts w:ascii="Arial" w:eastAsia="Arial" w:hAnsi="Arial" w:cs="Arial"/>
          <w:sz w:val="20"/>
          <w:szCs w:val="20"/>
        </w:rPr>
        <w:t xml:space="preserve">entre as beneficiárias das vagas reservadas as mulheres </w:t>
      </w:r>
      <w:proofErr w:type="spellStart"/>
      <w:r>
        <w:rPr>
          <w:rFonts w:ascii="Arial" w:eastAsia="Arial" w:hAnsi="Arial" w:cs="Arial"/>
          <w:sz w:val="20"/>
          <w:szCs w:val="20"/>
        </w:rPr>
        <w:t>trans</w:t>
      </w:r>
      <w:proofErr w:type="spellEnd"/>
      <w:r>
        <w:rPr>
          <w:rFonts w:ascii="Arial" w:eastAsia="Arial" w:hAnsi="Arial" w:cs="Arial"/>
          <w:sz w:val="20"/>
          <w:szCs w:val="20"/>
        </w:rPr>
        <w:t>, travestis e outras possibilidades do gênero feminino, conforme definido no art. 5º da Lei nº 11.340, de 7 de agosto de 2006.</w:t>
      </w:r>
    </w:p>
    <w:p w14:paraId="0784244E" w14:textId="77777777" w:rsidR="00447FAF" w:rsidRDefault="00865351">
      <w:pPr>
        <w:numPr>
          <w:ilvl w:val="2"/>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Sempre que houver um desligamento, a contratada deverá buscar atende</w:t>
      </w:r>
      <w:r>
        <w:rPr>
          <w:rFonts w:ascii="Arial" w:eastAsia="Arial" w:hAnsi="Arial" w:cs="Arial"/>
          <w:sz w:val="20"/>
          <w:szCs w:val="20"/>
        </w:rPr>
        <w:t>r ao percentual mínimo de 8% com a nova contratação.</w:t>
      </w:r>
    </w:p>
    <w:p w14:paraId="737188F8" w14:textId="77777777" w:rsidR="00447FAF" w:rsidRDefault="00865351">
      <w:pPr>
        <w:numPr>
          <w:ilvl w:val="2"/>
          <w:numId w:val="1"/>
        </w:numPr>
        <w:pBdr>
          <w:top w:val="nil"/>
          <w:left w:val="nil"/>
          <w:bottom w:val="nil"/>
          <w:right w:val="nil"/>
          <w:between w:val="nil"/>
        </w:pBdr>
        <w:spacing w:before="120" w:after="120" w:line="276" w:lineRule="auto"/>
        <w:jc w:val="both"/>
        <w:rPr>
          <w:rFonts w:ascii="Arial" w:eastAsia="Arial" w:hAnsi="Arial" w:cs="Arial"/>
          <w:sz w:val="20"/>
          <w:szCs w:val="20"/>
        </w:rPr>
      </w:pPr>
      <w:bookmarkStart w:id="4" w:name="_heading=h.2et92p0" w:colFirst="0" w:colLast="0"/>
      <w:bookmarkEnd w:id="4"/>
      <w:r>
        <w:rPr>
          <w:rFonts w:ascii="Arial" w:eastAsia="Arial" w:hAnsi="Arial" w:cs="Arial"/>
          <w:sz w:val="20"/>
          <w:szCs w:val="20"/>
        </w:rPr>
        <w:t>Se não houver mulheres elegíveis em número suficiente para preencher as vagas reservadas, a empresa poderá contratar livremente.</w:t>
      </w:r>
    </w:p>
    <w:p w14:paraId="65A07A9E" w14:textId="77777777" w:rsidR="00447FAF" w:rsidRDefault="00865351">
      <w:pPr>
        <w:numPr>
          <w:ilvl w:val="2"/>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lastRenderedPageBreak/>
        <w:t>Para cálculo do percentual de vagas reservadas serão considerados todos os</w:t>
      </w:r>
      <w:r>
        <w:rPr>
          <w:rFonts w:ascii="Arial" w:eastAsia="Arial" w:hAnsi="Arial" w:cs="Arial"/>
          <w:sz w:val="20"/>
          <w:szCs w:val="20"/>
        </w:rPr>
        <w:t xml:space="preserve"> empregados alocados no contrato, incluindo </w:t>
      </w:r>
      <w:proofErr w:type="spellStart"/>
      <w:r>
        <w:rPr>
          <w:rFonts w:ascii="Arial" w:eastAsia="Arial" w:hAnsi="Arial" w:cs="Arial"/>
          <w:sz w:val="20"/>
          <w:szCs w:val="20"/>
        </w:rPr>
        <w:t>folguistas</w:t>
      </w:r>
      <w:proofErr w:type="spellEnd"/>
      <w:r>
        <w:rPr>
          <w:rFonts w:ascii="Arial" w:eastAsia="Arial" w:hAnsi="Arial" w:cs="Arial"/>
          <w:sz w:val="20"/>
          <w:szCs w:val="20"/>
        </w:rPr>
        <w:t xml:space="preserve"> e substitutos.</w:t>
      </w:r>
    </w:p>
    <w:p w14:paraId="588CE839" w14:textId="77777777" w:rsidR="00447FAF" w:rsidRDefault="00865351">
      <w:pPr>
        <w:numPr>
          <w:ilvl w:val="2"/>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O percentual de mão-de-obra de que trata este item deverá ser mantido durante toda a execução contratual, ressalvado o subitem 9.42.4.</w:t>
      </w:r>
    </w:p>
    <w:p w14:paraId="30B5B0F8" w14:textId="77777777" w:rsidR="00447FAF" w:rsidRDefault="00865351">
      <w:pPr>
        <w:numPr>
          <w:ilvl w:val="2"/>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sz w:val="20"/>
          <w:szCs w:val="20"/>
        </w:rPr>
        <w:t>A contratada deve manter o sigilo da condição de vi</w:t>
      </w:r>
      <w:r>
        <w:rPr>
          <w:rFonts w:ascii="Arial" w:eastAsia="Arial" w:hAnsi="Arial" w:cs="Arial"/>
          <w:sz w:val="20"/>
          <w:szCs w:val="20"/>
        </w:rPr>
        <w:t>olência doméstica da profissional que será alocada para a prestação do serviço.</w:t>
      </w:r>
    </w:p>
    <w:p w14:paraId="4552E0E7"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sz w:val="20"/>
          <w:szCs w:val="20"/>
        </w:rPr>
        <w:t>CLÁUSULA DÉCIMA- OBRIGAÇÕES PERTINENTES À LGPD</w:t>
      </w:r>
    </w:p>
    <w:p w14:paraId="178ACA5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As partes deverão cumprir a </w:t>
      </w:r>
      <w:hyperlink r:id="rId20">
        <w:r>
          <w:rPr>
            <w:rFonts w:ascii="Arial" w:eastAsia="Arial" w:hAnsi="Arial" w:cs="Arial"/>
            <w:sz w:val="20"/>
            <w:szCs w:val="20"/>
            <w:u w:val="single"/>
          </w:rPr>
          <w:t>Lei nº 13.</w:t>
        </w:r>
        <w:r>
          <w:rPr>
            <w:rFonts w:ascii="Arial" w:eastAsia="Arial" w:hAnsi="Arial" w:cs="Arial"/>
            <w:sz w:val="20"/>
            <w:szCs w:val="20"/>
            <w:u w:val="single"/>
          </w:rPr>
          <w:t>709, de 14 de agosto de 2018 (LGPD)</w:t>
        </w:r>
      </w:hyperlink>
      <w:r>
        <w:rPr>
          <w:rFonts w:ascii="Arial" w:eastAsia="Arial" w:hAnsi="Arial" w:cs="Arial"/>
          <w:sz w:val="20"/>
          <w:szCs w:val="20"/>
        </w:rPr>
        <w:t>, quanto a todos os dados pessoais a que tenham acesso em razão do certame ou do contrato administrativo que eventualmente venha a ser firmado, a partir da apresentação da proposta no procedimento de contratação, independ</w:t>
      </w:r>
      <w:r>
        <w:rPr>
          <w:rFonts w:ascii="Arial" w:eastAsia="Arial" w:hAnsi="Arial" w:cs="Arial"/>
          <w:sz w:val="20"/>
          <w:szCs w:val="20"/>
        </w:rPr>
        <w:t xml:space="preserve">entemente de declaração ou de aceitação expressa. </w:t>
      </w:r>
    </w:p>
    <w:p w14:paraId="4281764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Os dados obtidos somente poderão ser utilizados para as finalidades que justificaram seu acesso e de acordo com a boa-fé e com os princípios do </w:t>
      </w:r>
      <w:hyperlink r:id="rId21" w:anchor="art6">
        <w:r>
          <w:rPr>
            <w:rFonts w:ascii="Arial" w:eastAsia="Arial" w:hAnsi="Arial" w:cs="Arial"/>
            <w:sz w:val="20"/>
            <w:szCs w:val="20"/>
            <w:u w:val="single"/>
          </w:rPr>
          <w:t>art. 6º da LGPD</w:t>
        </w:r>
      </w:hyperlink>
      <w:r>
        <w:rPr>
          <w:rFonts w:ascii="Arial" w:eastAsia="Arial" w:hAnsi="Arial" w:cs="Arial"/>
          <w:sz w:val="20"/>
          <w:szCs w:val="20"/>
        </w:rPr>
        <w:t xml:space="preserve">. </w:t>
      </w:r>
    </w:p>
    <w:p w14:paraId="7BA423C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É vedado o compartilhamento com terceiros dos dados obtidos fora das hipóteses permitidas em Lei.</w:t>
      </w:r>
    </w:p>
    <w:p w14:paraId="62FCEE18"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A Administração deverá ser informada no prazo de 5 (cinco) dias úteis sobre todos os contratos de </w:t>
      </w:r>
      <w:proofErr w:type="spellStart"/>
      <w:r>
        <w:rPr>
          <w:rFonts w:ascii="Arial" w:eastAsia="Arial" w:hAnsi="Arial" w:cs="Arial"/>
          <w:sz w:val="20"/>
          <w:szCs w:val="20"/>
        </w:rPr>
        <w:t>suboperação</w:t>
      </w:r>
      <w:proofErr w:type="spellEnd"/>
      <w:r>
        <w:rPr>
          <w:rFonts w:ascii="Arial" w:eastAsia="Arial" w:hAnsi="Arial" w:cs="Arial"/>
          <w:sz w:val="20"/>
          <w:szCs w:val="20"/>
        </w:rPr>
        <w:t xml:space="preserve"> firmados ou que venham a ser celebrados pelo Contratado. </w:t>
      </w:r>
    </w:p>
    <w:p w14:paraId="1C46EB1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Terminado o tratamento dos dados nos termos do </w:t>
      </w:r>
      <w:hyperlink r:id="rId22" w:anchor="art15">
        <w:r>
          <w:rPr>
            <w:rFonts w:ascii="Arial" w:eastAsia="Arial" w:hAnsi="Arial" w:cs="Arial"/>
            <w:sz w:val="20"/>
            <w:szCs w:val="20"/>
            <w:u w:val="single"/>
          </w:rPr>
          <w:t>art. 15 da LGPD</w:t>
        </w:r>
      </w:hyperlink>
      <w:r>
        <w:rPr>
          <w:rFonts w:ascii="Arial" w:eastAsia="Arial" w:hAnsi="Arial" w:cs="Arial"/>
          <w:sz w:val="20"/>
          <w:szCs w:val="20"/>
        </w:rPr>
        <w:t xml:space="preserve">, é dever do contratado eliminá-los, com exceção das hipóteses do </w:t>
      </w:r>
      <w:hyperlink r:id="rId23" w:anchor="art16">
        <w:r>
          <w:rPr>
            <w:rFonts w:ascii="Arial" w:eastAsia="Arial" w:hAnsi="Arial" w:cs="Arial"/>
            <w:sz w:val="20"/>
            <w:szCs w:val="20"/>
            <w:u w:val="single"/>
          </w:rPr>
          <w:t>art. 16 da L</w:t>
        </w:r>
        <w:r>
          <w:rPr>
            <w:rFonts w:ascii="Arial" w:eastAsia="Arial" w:hAnsi="Arial" w:cs="Arial"/>
            <w:sz w:val="20"/>
            <w:szCs w:val="20"/>
            <w:u w:val="single"/>
          </w:rPr>
          <w:t>GPD</w:t>
        </w:r>
      </w:hyperlink>
      <w:r>
        <w:rPr>
          <w:rFonts w:ascii="Arial" w:eastAsia="Arial" w:hAnsi="Arial" w:cs="Arial"/>
          <w:sz w:val="20"/>
          <w:szCs w:val="20"/>
        </w:rPr>
        <w:t xml:space="preserve">, incluindo aquelas em que houver necessidade de guarda de documentação para fins de comprovação do cumprimento de obrigações legais ou contratuais e somente enquanto não prescritas essas obrigações. </w:t>
      </w:r>
    </w:p>
    <w:p w14:paraId="67B6433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É dever do contratado orientar e treinar seus empreg</w:t>
      </w:r>
      <w:r>
        <w:rPr>
          <w:rFonts w:ascii="Arial" w:eastAsia="Arial" w:hAnsi="Arial" w:cs="Arial"/>
          <w:sz w:val="20"/>
          <w:szCs w:val="20"/>
        </w:rPr>
        <w:t xml:space="preserve">ados sobre os deveres, requisitos e responsabilidades decorrentes da LGPD. </w:t>
      </w:r>
    </w:p>
    <w:p w14:paraId="563DC86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 Contratado deverá exigir de </w:t>
      </w:r>
      <w:proofErr w:type="spellStart"/>
      <w:r>
        <w:rPr>
          <w:rFonts w:ascii="Arial" w:eastAsia="Arial" w:hAnsi="Arial" w:cs="Arial"/>
          <w:sz w:val="20"/>
          <w:szCs w:val="20"/>
        </w:rPr>
        <w:t>suboperadores</w:t>
      </w:r>
      <w:proofErr w:type="spellEnd"/>
      <w:r>
        <w:rPr>
          <w:rFonts w:ascii="Arial" w:eastAsia="Arial" w:hAnsi="Arial" w:cs="Arial"/>
          <w:sz w:val="20"/>
          <w:szCs w:val="20"/>
        </w:rPr>
        <w:t xml:space="preserve"> e subcontratados o cumprimento dos deveres da presente cláusula, permanecendo integralmente responsável por garantir sua observância.</w:t>
      </w:r>
    </w:p>
    <w:p w14:paraId="1B3F254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 </w:t>
      </w:r>
      <w:r>
        <w:rPr>
          <w:rFonts w:ascii="Arial" w:eastAsia="Arial" w:hAnsi="Arial" w:cs="Arial"/>
          <w:sz w:val="20"/>
          <w:szCs w:val="20"/>
        </w:rPr>
        <w:t xml:space="preserve">Contratante poderá realizar diligência para aferir o cumprimento dessa cláusula, devendo o Contratado atender prontamente eventuais pedidos de comprovação formulados. </w:t>
      </w:r>
    </w:p>
    <w:p w14:paraId="60864EF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Contratado deverá prestar, no prazo fixado pelo Contratante, prorrogável justificadame</w:t>
      </w:r>
      <w:r>
        <w:rPr>
          <w:rFonts w:ascii="Arial" w:eastAsia="Arial" w:hAnsi="Arial" w:cs="Arial"/>
          <w:sz w:val="20"/>
          <w:szCs w:val="20"/>
        </w:rPr>
        <w:t xml:space="preserve">nte, quaisquer informações acerca dos dados pessoais para cumprimento da LGPD, inclusive quanto a eventual descarte realizado. </w:t>
      </w:r>
    </w:p>
    <w:p w14:paraId="1B912836"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Bancos de dados formados a partir de contratos administrativos, notadamente aqueles que se proponham a armazenar dados pessoais,</w:t>
      </w:r>
      <w:r>
        <w:rPr>
          <w:rFonts w:ascii="Arial" w:eastAsia="Arial" w:hAnsi="Arial" w:cs="Arial"/>
          <w:sz w:val="20"/>
          <w:szCs w:val="20"/>
        </w:rPr>
        <w:t xml:space="preserve"> devem ser mantidos em ambiente virtual controlado, com registro individual </w:t>
      </w:r>
      <w:proofErr w:type="spellStart"/>
      <w:r>
        <w:rPr>
          <w:rFonts w:ascii="Arial" w:eastAsia="Arial" w:hAnsi="Arial" w:cs="Arial"/>
          <w:sz w:val="20"/>
          <w:szCs w:val="20"/>
        </w:rPr>
        <w:t>rastreável</w:t>
      </w:r>
      <w:proofErr w:type="spellEnd"/>
      <w:r>
        <w:rPr>
          <w:rFonts w:ascii="Arial" w:eastAsia="Arial" w:hAnsi="Arial" w:cs="Arial"/>
          <w:sz w:val="20"/>
          <w:szCs w:val="20"/>
        </w:rPr>
        <w:t xml:space="preserve"> de tratamentos realizados (</w:t>
      </w:r>
      <w:hyperlink r:id="rId24">
        <w:r>
          <w:rPr>
            <w:rFonts w:ascii="Arial" w:eastAsia="Arial" w:hAnsi="Arial" w:cs="Arial"/>
            <w:sz w:val="20"/>
            <w:szCs w:val="20"/>
            <w:u w:val="single"/>
          </w:rPr>
          <w:t>LGPD, art. 37</w:t>
        </w:r>
      </w:hyperlink>
      <w:r>
        <w:rPr>
          <w:rFonts w:ascii="Arial" w:eastAsia="Arial" w:hAnsi="Arial" w:cs="Arial"/>
          <w:sz w:val="20"/>
          <w:szCs w:val="20"/>
        </w:rPr>
        <w:t>), com cada acesso, data, horário e re</w:t>
      </w:r>
      <w:r>
        <w:rPr>
          <w:rFonts w:ascii="Arial" w:eastAsia="Arial" w:hAnsi="Arial" w:cs="Arial"/>
          <w:sz w:val="20"/>
          <w:szCs w:val="20"/>
        </w:rPr>
        <w:t>gistro da finalidade, para efeito de responsabilização, em caso de eventuais omissões, desvios ou abusos.</w:t>
      </w:r>
    </w:p>
    <w:p w14:paraId="2AC07377"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Os referidos bancos de dados devem ser desenvolvidos em formato </w:t>
      </w:r>
      <w:proofErr w:type="spellStart"/>
      <w:r>
        <w:rPr>
          <w:rFonts w:ascii="Arial" w:eastAsia="Arial" w:hAnsi="Arial" w:cs="Arial"/>
          <w:sz w:val="20"/>
          <w:szCs w:val="20"/>
        </w:rPr>
        <w:t>interoperável</w:t>
      </w:r>
      <w:proofErr w:type="spellEnd"/>
      <w:r>
        <w:rPr>
          <w:rFonts w:ascii="Arial" w:eastAsia="Arial" w:hAnsi="Arial" w:cs="Arial"/>
          <w:sz w:val="20"/>
          <w:szCs w:val="20"/>
        </w:rPr>
        <w:t>, a fim de garantir a reutilização desses dados pela Administração nas hi</w:t>
      </w:r>
      <w:r>
        <w:rPr>
          <w:rFonts w:ascii="Arial" w:eastAsia="Arial" w:hAnsi="Arial" w:cs="Arial"/>
          <w:sz w:val="20"/>
          <w:szCs w:val="20"/>
        </w:rPr>
        <w:t>póteses previstas na LGPD.</w:t>
      </w:r>
    </w:p>
    <w:p w14:paraId="341A5986"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w:t>
      </w:r>
      <w:r>
        <w:rPr>
          <w:rFonts w:ascii="Arial" w:eastAsia="Arial" w:hAnsi="Arial" w:cs="Arial"/>
          <w:sz w:val="20"/>
          <w:szCs w:val="20"/>
        </w:rPr>
        <w:t>a da LGPD.</w:t>
      </w:r>
    </w:p>
    <w:p w14:paraId="71E9337B"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lastRenderedPageBreak/>
        <w:t>CLÁUSULA DÉCIMA PRIMEIRA – GARANTIA DE EXECUÇÃO (</w:t>
      </w:r>
      <w:hyperlink r:id="rId25" w:anchor="art92">
        <w:r>
          <w:rPr>
            <w:rFonts w:ascii="Arial" w:eastAsia="Arial" w:hAnsi="Arial" w:cs="Arial"/>
            <w:b/>
            <w:color w:val="000080"/>
            <w:sz w:val="20"/>
            <w:szCs w:val="20"/>
            <w:u w:val="single"/>
          </w:rPr>
          <w:t>art. 92, XII</w:t>
        </w:r>
      </w:hyperlink>
      <w:r>
        <w:rPr>
          <w:rFonts w:ascii="Arial" w:eastAsia="Arial" w:hAnsi="Arial" w:cs="Arial"/>
          <w:b/>
          <w:color w:val="000000"/>
          <w:sz w:val="20"/>
          <w:szCs w:val="20"/>
        </w:rPr>
        <w:t xml:space="preserve">) </w:t>
      </w:r>
    </w:p>
    <w:p w14:paraId="1A68F2A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w:t>
      </w:r>
      <w:r>
        <w:rPr>
          <w:rFonts w:ascii="Arial" w:eastAsia="Arial" w:hAnsi="Arial" w:cs="Arial"/>
          <w:sz w:val="20"/>
          <w:szCs w:val="20"/>
        </w:rPr>
        <w:t>pública ou, ainda, pela fiança bancária, em valor correspondente a 5% (cinco por cento) do valor total/anual do contrato, limitada ao equivalente a 2 (dois) meses do custo da folha de pagamento dos empregados da contratada que venham a participar da execuç</w:t>
      </w:r>
      <w:r>
        <w:rPr>
          <w:rFonts w:ascii="Arial" w:eastAsia="Arial" w:hAnsi="Arial" w:cs="Arial"/>
          <w:sz w:val="20"/>
          <w:szCs w:val="20"/>
        </w:rPr>
        <w:t xml:space="preserve">ão dos serviços contratados. </w:t>
      </w:r>
    </w:p>
    <w:p w14:paraId="47323CB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Caso utilizada a modalidade de seguro-garantia, a apólice deverá ter validade durante a vigência do contrato e por mais 90 (noventa) dias após o término da vigência contratual, permanecendo em vigor mesmo que o contratado não </w:t>
      </w:r>
      <w:r>
        <w:rPr>
          <w:rFonts w:ascii="Arial" w:eastAsia="Arial" w:hAnsi="Arial" w:cs="Arial"/>
          <w:sz w:val="20"/>
          <w:szCs w:val="20"/>
        </w:rPr>
        <w:t>pague o prêmio nas datas convencionadas.  </w:t>
      </w:r>
    </w:p>
    <w:p w14:paraId="6D4F69CE"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A apólice do seguro garantia deverá acompanhar as modificações referentes à vigência do contrato principal mediante a emissão do respectivo endosso pela seguradora.</w:t>
      </w:r>
    </w:p>
    <w:p w14:paraId="1A9AE851"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Será permitida a substituição da apólice de segu</w:t>
      </w:r>
      <w:r>
        <w:rPr>
          <w:rFonts w:ascii="Arial" w:eastAsia="Arial" w:hAnsi="Arial" w:cs="Arial"/>
          <w:sz w:val="20"/>
          <w:szCs w:val="20"/>
        </w:rPr>
        <w:t>ro-garantia na data de renovação ou de aniversário, desde que mantidas as condições e coberturas da apólice vigente e nenhum período fique descoberto, ressalvado o disposto no item 11.5 deste contrato.</w:t>
      </w:r>
    </w:p>
    <w:p w14:paraId="43CF353B" w14:textId="77777777" w:rsidR="00447FAF" w:rsidRDefault="00865351">
      <w:pPr>
        <w:numPr>
          <w:ilvl w:val="1"/>
          <w:numId w:val="1"/>
        </w:numPr>
        <w:pBdr>
          <w:top w:val="nil"/>
          <w:left w:val="nil"/>
          <w:bottom w:val="nil"/>
          <w:right w:val="nil"/>
          <w:between w:val="nil"/>
        </w:pBdr>
        <w:spacing w:before="120" w:after="120" w:line="276" w:lineRule="auto"/>
        <w:jc w:val="both"/>
      </w:pPr>
      <w:bookmarkStart w:id="5" w:name="_heading=h.tyjcwt" w:colFirst="0" w:colLast="0"/>
      <w:bookmarkEnd w:id="5"/>
      <w:r>
        <w:rPr>
          <w:rFonts w:ascii="Arial" w:eastAsia="Arial" w:hAnsi="Arial" w:cs="Arial"/>
          <w:sz w:val="20"/>
          <w:szCs w:val="20"/>
        </w:rPr>
        <w:t>Na hipótese de suspensão do contrato por ordem ou inad</w:t>
      </w:r>
      <w:r>
        <w:rPr>
          <w:rFonts w:ascii="Arial" w:eastAsia="Arial" w:hAnsi="Arial" w:cs="Arial"/>
          <w:sz w:val="20"/>
          <w:szCs w:val="20"/>
        </w:rPr>
        <w:t>implemento da Administração, o contratado ficará desobrigado de renovar a garantia ou de endossar a apólice de seguro até a ordem de reinício da execução ou o adimplemento pela Administração.</w:t>
      </w:r>
    </w:p>
    <w:p w14:paraId="7F39EF0C" w14:textId="77777777" w:rsidR="00447FAF" w:rsidRDefault="00865351">
      <w:pPr>
        <w:numPr>
          <w:ilvl w:val="1"/>
          <w:numId w:val="1"/>
        </w:numPr>
        <w:pBdr>
          <w:top w:val="nil"/>
          <w:left w:val="nil"/>
          <w:bottom w:val="nil"/>
          <w:right w:val="nil"/>
          <w:between w:val="nil"/>
        </w:pBdr>
        <w:spacing w:before="120" w:after="120" w:line="276" w:lineRule="auto"/>
        <w:jc w:val="both"/>
      </w:pPr>
      <w:bookmarkStart w:id="6" w:name="_heading=h.3dy6vkm" w:colFirst="0" w:colLast="0"/>
      <w:bookmarkEnd w:id="6"/>
      <w:r>
        <w:rPr>
          <w:rFonts w:ascii="Arial" w:eastAsia="Arial" w:hAnsi="Arial" w:cs="Arial"/>
          <w:sz w:val="20"/>
          <w:szCs w:val="20"/>
        </w:rPr>
        <w:t>A garantia assegurará, qualquer que seja a modalidade escolhida,</w:t>
      </w:r>
      <w:r>
        <w:rPr>
          <w:rFonts w:ascii="Arial" w:eastAsia="Arial" w:hAnsi="Arial" w:cs="Arial"/>
          <w:sz w:val="20"/>
          <w:szCs w:val="20"/>
        </w:rPr>
        <w:t xml:space="preserve"> o pagamento de: </w:t>
      </w:r>
    </w:p>
    <w:p w14:paraId="6C949EA9"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sz w:val="20"/>
          <w:szCs w:val="20"/>
        </w:rPr>
        <w:t>prejuízos</w:t>
      </w:r>
      <w:proofErr w:type="gramEnd"/>
      <w:r>
        <w:rPr>
          <w:rFonts w:ascii="Arial" w:eastAsia="Arial" w:hAnsi="Arial" w:cs="Arial"/>
          <w:sz w:val="20"/>
          <w:szCs w:val="20"/>
        </w:rPr>
        <w:t xml:space="preserve"> advindos do não cumprimento do objeto do contrato e do não adimplemento das demais obrigações nele previstas; </w:t>
      </w:r>
    </w:p>
    <w:p w14:paraId="1C97AA9D"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sz w:val="20"/>
          <w:szCs w:val="20"/>
        </w:rPr>
        <w:t>multas</w:t>
      </w:r>
      <w:proofErr w:type="gramEnd"/>
      <w:r>
        <w:rPr>
          <w:rFonts w:ascii="Arial" w:eastAsia="Arial" w:hAnsi="Arial" w:cs="Arial"/>
          <w:sz w:val="20"/>
          <w:szCs w:val="20"/>
        </w:rPr>
        <w:t xml:space="preserve"> moratórias e punitivas aplicadas pela Administração ao contratado; e  </w:t>
      </w:r>
    </w:p>
    <w:p w14:paraId="01790E33"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sz w:val="20"/>
          <w:szCs w:val="20"/>
        </w:rPr>
        <w:t>obrigações</w:t>
      </w:r>
      <w:proofErr w:type="gramEnd"/>
      <w:r>
        <w:rPr>
          <w:rFonts w:ascii="Arial" w:eastAsia="Arial" w:hAnsi="Arial" w:cs="Arial"/>
          <w:sz w:val="20"/>
          <w:szCs w:val="20"/>
        </w:rPr>
        <w:t xml:space="preserve"> trabalhistas e </w:t>
      </w:r>
      <w:r>
        <w:rPr>
          <w:rFonts w:ascii="Arial" w:eastAsia="Arial" w:hAnsi="Arial" w:cs="Arial"/>
          <w:sz w:val="20"/>
          <w:szCs w:val="20"/>
        </w:rPr>
        <w:t>previdenciárias de qualquer natureza e para com o FGTS, não adimplidas pelo contratado, quando couber.</w:t>
      </w:r>
    </w:p>
    <w:p w14:paraId="1C2260BE"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A modalidade seguro-garantia somente será aceita se contemplar todos os eventos indicados no item 11.9, observada a legislação que rege a matéria. </w:t>
      </w:r>
    </w:p>
    <w:p w14:paraId="6DE624E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A gar</w:t>
      </w:r>
      <w:r>
        <w:rPr>
          <w:rFonts w:ascii="Arial" w:eastAsia="Arial" w:hAnsi="Arial" w:cs="Arial"/>
          <w:sz w:val="20"/>
          <w:szCs w:val="20"/>
        </w:rPr>
        <w:t>antia em dinheiro deverá ser efetuada em favor do contratante, em conta específica na Caixa Econômica Federal, com correção monetária.</w:t>
      </w:r>
    </w:p>
    <w:p w14:paraId="31237D8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Caso a opção seja por utilizar títulos da dívida pública, estes devem ter sido emitidos sob a forma escritural, mediante </w:t>
      </w:r>
      <w:r>
        <w:rPr>
          <w:rFonts w:ascii="Arial" w:eastAsia="Arial" w:hAnsi="Arial" w:cs="Arial"/>
          <w:sz w:val="20"/>
          <w:szCs w:val="20"/>
        </w:rPr>
        <w:t>registro em sistema centralizado de liquidação e de custódia autorizado pelo Banco Central do Brasil, e avaliados pelos seus valores econômicos, conforme definido pelo Ministério da Fazenda.</w:t>
      </w:r>
    </w:p>
    <w:p w14:paraId="3992F1E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No caso de garantia na modalidade de fiança bancária, deverá ser </w:t>
      </w:r>
      <w:r>
        <w:rPr>
          <w:rFonts w:ascii="Arial" w:eastAsia="Arial" w:hAnsi="Arial" w:cs="Arial"/>
          <w:sz w:val="20"/>
          <w:szCs w:val="20"/>
        </w:rPr>
        <w:t xml:space="preserve">emitida por banco ou instituição financeira devidamente autorizada a operar no País pelo Banco Central do Brasil, e deverá constar expressa renúncia do fiador aos benefícios do </w:t>
      </w:r>
      <w:hyperlink r:id="rId26" w:anchor="art827">
        <w:r>
          <w:rPr>
            <w:rFonts w:ascii="Arial" w:eastAsia="Arial" w:hAnsi="Arial" w:cs="Arial"/>
            <w:color w:val="000080"/>
            <w:sz w:val="20"/>
            <w:szCs w:val="20"/>
            <w:u w:val="single"/>
          </w:rPr>
          <w:t>artigo 827 do Código Civil</w:t>
        </w:r>
      </w:hyperlink>
      <w:hyperlink r:id="rId27" w:anchor="art827">
        <w:r>
          <w:rPr>
            <w:rFonts w:ascii="Arial" w:eastAsia="Arial" w:hAnsi="Arial" w:cs="Arial"/>
            <w:sz w:val="20"/>
            <w:szCs w:val="20"/>
            <w:u w:val="single"/>
          </w:rPr>
          <w:t>.</w:t>
        </w:r>
      </w:hyperlink>
    </w:p>
    <w:p w14:paraId="55578A5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No caso de alteração do valor do contrato, ou prorrogação de sua vigência, a garantia deverá ser ajustada ou </w:t>
      </w:r>
      <w:r>
        <w:rPr>
          <w:rFonts w:ascii="Arial" w:eastAsia="Arial" w:hAnsi="Arial" w:cs="Arial"/>
          <w:sz w:val="20"/>
          <w:szCs w:val="20"/>
        </w:rPr>
        <w:t xml:space="preserve">renovada, seguindo os mesmos parâmetros utilizados quando da contratação. </w:t>
      </w:r>
    </w:p>
    <w:p w14:paraId="1A63919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Se o valor da garantia for utilizado total ou parcialmente em pagamento de qualquer obrigação, o Contratado obriga-se a fazer a respectiva reposição no prazo máximo de 10 (dez) dias</w:t>
      </w:r>
      <w:r>
        <w:rPr>
          <w:rFonts w:ascii="Arial" w:eastAsia="Arial" w:hAnsi="Arial" w:cs="Arial"/>
          <w:sz w:val="20"/>
          <w:szCs w:val="20"/>
        </w:rPr>
        <w:t xml:space="preserve"> úteis, contados da data em que for notificada.</w:t>
      </w:r>
    </w:p>
    <w:p w14:paraId="78D4063E"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Contratante executará a garantia na forma prevista na legislação que rege a matéria.</w:t>
      </w:r>
    </w:p>
    <w:p w14:paraId="79007CEB"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lastRenderedPageBreak/>
        <w:t xml:space="preserve">O emitente da garantia ofertada pelo contratado deverá ser notificado pelo contratante quanto ao início de processo </w:t>
      </w:r>
      <w:r>
        <w:rPr>
          <w:rFonts w:ascii="Arial" w:eastAsia="Arial" w:hAnsi="Arial" w:cs="Arial"/>
          <w:sz w:val="20"/>
          <w:szCs w:val="20"/>
        </w:rPr>
        <w:t>administrativo para apuração de descumprimento de cláusulas contratuais (</w:t>
      </w:r>
      <w:hyperlink r:id="rId28" w:anchor="art137%C2%A74">
        <w:r>
          <w:rPr>
            <w:rFonts w:ascii="Arial" w:eastAsia="Arial" w:hAnsi="Arial" w:cs="Arial"/>
            <w:color w:val="000080"/>
            <w:sz w:val="20"/>
            <w:szCs w:val="20"/>
            <w:u w:val="single"/>
          </w:rPr>
          <w:t>art. 137, § 4º, da Lei n.º 14.133, de 2021</w:t>
        </w:r>
      </w:hyperlink>
      <w:r>
        <w:rPr>
          <w:rFonts w:ascii="Arial" w:eastAsia="Arial" w:hAnsi="Arial" w:cs="Arial"/>
          <w:sz w:val="20"/>
          <w:szCs w:val="20"/>
        </w:rPr>
        <w:t>).</w:t>
      </w:r>
    </w:p>
    <w:p w14:paraId="22C54214"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sz w:val="20"/>
          <w:szCs w:val="20"/>
        </w:rPr>
        <w:t>Caso se trate da modalidade s</w:t>
      </w:r>
      <w:r>
        <w:rPr>
          <w:rFonts w:ascii="Arial" w:eastAsia="Arial" w:hAnsi="Arial" w:cs="Arial"/>
          <w:sz w:val="20"/>
          <w:szCs w:val="20"/>
        </w:rPr>
        <w:t>eguro-garantia, ocorrido o sinistro durante a vigência da apólice, sua caracterização e comunicação poderão ocorrer fora desta vigência, não caracterizando fato que justifique a negativa do sinistro, desde que respeitados os prazos prescricionais aplicados</w:t>
      </w:r>
      <w:r>
        <w:rPr>
          <w:rFonts w:ascii="Arial" w:eastAsia="Arial" w:hAnsi="Arial" w:cs="Arial"/>
          <w:sz w:val="20"/>
          <w:szCs w:val="20"/>
        </w:rPr>
        <w:t xml:space="preserve"> ao contrato de seguro, nos termos do </w:t>
      </w:r>
      <w:hyperlink r:id="rId29" w:anchor="art20">
        <w:r>
          <w:rPr>
            <w:rFonts w:ascii="Arial" w:eastAsia="Arial" w:hAnsi="Arial" w:cs="Arial"/>
            <w:color w:val="000080"/>
            <w:sz w:val="20"/>
            <w:szCs w:val="20"/>
            <w:u w:val="single"/>
          </w:rPr>
          <w:t>art. 20 da Circular Susep n° 662, de 11 de abril de 2022</w:t>
        </w:r>
      </w:hyperlink>
      <w:r>
        <w:rPr>
          <w:rFonts w:ascii="Arial" w:eastAsia="Arial" w:hAnsi="Arial" w:cs="Arial"/>
          <w:sz w:val="20"/>
          <w:szCs w:val="20"/>
        </w:rPr>
        <w:t>.</w:t>
      </w:r>
    </w:p>
    <w:p w14:paraId="0484B2B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Extinguir-se-á a garantia com a restituiç</w:t>
      </w:r>
      <w:r>
        <w:rPr>
          <w:rFonts w:ascii="Arial" w:eastAsia="Arial" w:hAnsi="Arial" w:cs="Arial"/>
          <w:sz w:val="20"/>
          <w:szCs w:val="20"/>
        </w:rPr>
        <w:t xml:space="preserve">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1C9BC5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A garantia somente será liberada ou restituída após a fiel execução do contrato ou após a sua extinção por culpa exclusiva da Administração e, quando em dinheiro, será atualizada monetariamente.</w:t>
      </w:r>
    </w:p>
    <w:p w14:paraId="634B8B4E"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A garantia somente será liberada ante a comprovação de que o</w:t>
      </w:r>
      <w:r>
        <w:rPr>
          <w:rFonts w:ascii="Arial" w:eastAsia="Arial" w:hAnsi="Arial" w:cs="Arial"/>
          <w:sz w:val="20"/>
          <w:szCs w:val="20"/>
        </w:rPr>
        <w:t xml:space="preserve"> contratado pagou todas as verbas rescisórias decorrentes da contratação, sendo que, caso esse pagamento não ocorra até o fim do segundo mês após o encerramento da vigência contratual, a garantia deverá ser utilizada para o pagamento dessas verbas trabalhi</w:t>
      </w:r>
      <w:r>
        <w:rPr>
          <w:rFonts w:ascii="Arial" w:eastAsia="Arial" w:hAnsi="Arial" w:cs="Arial"/>
          <w:sz w:val="20"/>
          <w:szCs w:val="20"/>
        </w:rPr>
        <w:t xml:space="preserve">stas, incluindo suas repercussões previdenciárias e relativas ao FGTS, observada a legislação que rege a matéria; </w:t>
      </w:r>
    </w:p>
    <w:p w14:paraId="642C1B9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Também poderá haver liberação da garantia se a empresa comprovar que os empregados serão realocados em outra atividade de prestação de serviç</w:t>
      </w:r>
      <w:r>
        <w:rPr>
          <w:rFonts w:ascii="Arial" w:eastAsia="Arial" w:hAnsi="Arial" w:cs="Arial"/>
          <w:sz w:val="20"/>
          <w:szCs w:val="20"/>
        </w:rPr>
        <w:t>os, sem que ocorra a interrupção do contrato de trabalho;</w:t>
      </w:r>
    </w:p>
    <w:p w14:paraId="0B2BF53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Por ocasião do encerramento da prestação dos serviços contratados, a Administração Contratante poderá utilizar o valor da garantia prestada para o pagamento direto aos trabalhadores vinculados ao co</w:t>
      </w:r>
      <w:r>
        <w:rPr>
          <w:rFonts w:ascii="Arial" w:eastAsia="Arial" w:hAnsi="Arial" w:cs="Arial"/>
          <w:sz w:val="20"/>
          <w:szCs w:val="20"/>
        </w:rPr>
        <w:t>ntrato no caso da não comprovação: (1) do pagamento das respectivas verbas rescisórias ou (2) da realocação dos trabalhadores em outra atividade de prestação de serviços.</w:t>
      </w:r>
    </w:p>
    <w:p w14:paraId="306ABB4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garantidor não é parte para figurar em processo administrativo instaurado pelo cont</w:t>
      </w:r>
      <w:r>
        <w:rPr>
          <w:rFonts w:ascii="Arial" w:eastAsia="Arial" w:hAnsi="Arial" w:cs="Arial"/>
          <w:sz w:val="20"/>
          <w:szCs w:val="20"/>
        </w:rPr>
        <w:t xml:space="preserve">ratante com o objetivo de apurar prejuízos e/ou aplicar sanções ao contratado. </w:t>
      </w:r>
    </w:p>
    <w:p w14:paraId="09A0A35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O contratado autoriza o contratante a reter, a qualquer tempo, a garantia, na forma prevista no Edital e neste Contrato.</w:t>
      </w:r>
    </w:p>
    <w:p w14:paraId="72A7DC35"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 xml:space="preserve">A garantia de execução é independente de eventual </w:t>
      </w:r>
      <w:r>
        <w:rPr>
          <w:rFonts w:ascii="Arial" w:eastAsia="Arial" w:hAnsi="Arial" w:cs="Arial"/>
          <w:sz w:val="20"/>
          <w:szCs w:val="20"/>
        </w:rPr>
        <w:t>garantia do produto ou serviço prevista especificamente no Termo de Referência.</w:t>
      </w:r>
    </w:p>
    <w:p w14:paraId="2CB7CAA7"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DÉCIMA SEGUNDA – INFRAÇÕES E SANÇÕES ADMINISTRATIVAS (</w:t>
      </w:r>
      <w:hyperlink r:id="rId30" w:anchor="art92">
        <w:r>
          <w:rPr>
            <w:rFonts w:ascii="Arial" w:eastAsia="Arial" w:hAnsi="Arial" w:cs="Arial"/>
            <w:b/>
            <w:color w:val="000080"/>
            <w:sz w:val="20"/>
            <w:szCs w:val="20"/>
            <w:u w:val="single"/>
          </w:rPr>
          <w:t>art. 92, XIV</w:t>
        </w:r>
      </w:hyperlink>
      <w:r>
        <w:rPr>
          <w:rFonts w:ascii="Arial" w:eastAsia="Arial" w:hAnsi="Arial" w:cs="Arial"/>
          <w:b/>
          <w:color w:val="000000"/>
          <w:sz w:val="20"/>
          <w:szCs w:val="20"/>
        </w:rPr>
        <w:t>)</w:t>
      </w:r>
    </w:p>
    <w:p w14:paraId="21E623A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Comete infração administrativa, nos termos da </w:t>
      </w:r>
      <w:hyperlink r:id="rId31">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o contratado que:</w:t>
      </w:r>
    </w:p>
    <w:p w14:paraId="14F1FC2F"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parcial do contrato;</w:t>
      </w:r>
    </w:p>
    <w:p w14:paraId="226453FE"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parcial d</w:t>
      </w:r>
      <w:r>
        <w:rPr>
          <w:rFonts w:ascii="Arial" w:eastAsia="Arial" w:hAnsi="Arial" w:cs="Arial"/>
          <w:sz w:val="20"/>
          <w:szCs w:val="20"/>
        </w:rPr>
        <w:t>o contrato que cause grave dano à Administração ou ao funcionamento dos serviços públicos ou ao interesse coletivo;</w:t>
      </w:r>
    </w:p>
    <w:p w14:paraId="7DF70499"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der</w:t>
      </w:r>
      <w:proofErr w:type="gramEnd"/>
      <w:r>
        <w:rPr>
          <w:rFonts w:ascii="Arial" w:eastAsia="Arial" w:hAnsi="Arial" w:cs="Arial"/>
          <w:sz w:val="20"/>
          <w:szCs w:val="20"/>
        </w:rPr>
        <w:t xml:space="preserve"> causa à inexecução total do contrato;</w:t>
      </w:r>
    </w:p>
    <w:p w14:paraId="08784CCF"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ensejar</w:t>
      </w:r>
      <w:proofErr w:type="gramEnd"/>
      <w:r>
        <w:rPr>
          <w:rFonts w:ascii="Arial" w:eastAsia="Arial" w:hAnsi="Arial" w:cs="Arial"/>
          <w:sz w:val="20"/>
          <w:szCs w:val="20"/>
        </w:rPr>
        <w:t xml:space="preserve"> o retardamento da execução ou da entrega do objeto da contratação sem motivo justificado;</w:t>
      </w:r>
    </w:p>
    <w:p w14:paraId="0A2751FB"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apresentar</w:t>
      </w:r>
      <w:proofErr w:type="gramEnd"/>
      <w:r>
        <w:rPr>
          <w:rFonts w:ascii="Arial" w:eastAsia="Arial" w:hAnsi="Arial" w:cs="Arial"/>
          <w:sz w:val="20"/>
          <w:szCs w:val="20"/>
        </w:rPr>
        <w:t xml:space="preserve"> documentação falsa ou prestar declaração falsa durante a execução do contrato;</w:t>
      </w:r>
    </w:p>
    <w:p w14:paraId="2180C72D"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lastRenderedPageBreak/>
        <w:t>praticar</w:t>
      </w:r>
      <w:proofErr w:type="gramEnd"/>
      <w:r>
        <w:rPr>
          <w:rFonts w:ascii="Arial" w:eastAsia="Arial" w:hAnsi="Arial" w:cs="Arial"/>
          <w:sz w:val="20"/>
          <w:szCs w:val="20"/>
        </w:rPr>
        <w:t xml:space="preserve"> ato fraudulento na execução do contrato;</w:t>
      </w:r>
    </w:p>
    <w:p w14:paraId="6465DDA4"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comportar</w:t>
      </w:r>
      <w:proofErr w:type="gramEnd"/>
      <w:r>
        <w:rPr>
          <w:rFonts w:ascii="Arial" w:eastAsia="Arial" w:hAnsi="Arial" w:cs="Arial"/>
          <w:sz w:val="20"/>
          <w:szCs w:val="20"/>
        </w:rPr>
        <w:t>-se de modo inidôneo ou cometer fraude de qualquer natureza;</w:t>
      </w:r>
    </w:p>
    <w:p w14:paraId="32F4C3AE" w14:textId="77777777" w:rsidR="00447FAF" w:rsidRDefault="00865351">
      <w:pPr>
        <w:numPr>
          <w:ilvl w:val="2"/>
          <w:numId w:val="3"/>
        </w:numPr>
        <w:spacing w:before="120" w:after="120" w:line="276" w:lineRule="auto"/>
        <w:ind w:left="284" w:firstLine="0"/>
        <w:jc w:val="both"/>
        <w:rPr>
          <w:rFonts w:ascii="Arial" w:eastAsia="Arial" w:hAnsi="Arial" w:cs="Arial"/>
          <w:sz w:val="20"/>
          <w:szCs w:val="20"/>
        </w:rPr>
      </w:pPr>
      <w:proofErr w:type="gramStart"/>
      <w:r>
        <w:rPr>
          <w:rFonts w:ascii="Arial" w:eastAsia="Arial" w:hAnsi="Arial" w:cs="Arial"/>
          <w:sz w:val="20"/>
          <w:szCs w:val="20"/>
        </w:rPr>
        <w:t>praticar</w:t>
      </w:r>
      <w:proofErr w:type="gramEnd"/>
      <w:r>
        <w:rPr>
          <w:rFonts w:ascii="Arial" w:eastAsia="Arial" w:hAnsi="Arial" w:cs="Arial"/>
          <w:sz w:val="20"/>
          <w:szCs w:val="20"/>
        </w:rPr>
        <w:t xml:space="preserve"> ato lesivo previsto no art. 5º da Lei</w:t>
      </w:r>
      <w:r>
        <w:rPr>
          <w:rFonts w:ascii="Arial" w:eastAsia="Arial" w:hAnsi="Arial" w:cs="Arial"/>
          <w:sz w:val="20"/>
          <w:szCs w:val="20"/>
        </w:rPr>
        <w:t xml:space="preserve"> nº 12.846, de 1º de agosto de 2013.</w:t>
      </w:r>
    </w:p>
    <w:p w14:paraId="7303C1A6"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Serão aplicadas ao contratado que incorrer nas infrações acima descritas as seguintes sanções:</w:t>
      </w:r>
    </w:p>
    <w:p w14:paraId="7228FC88" w14:textId="77777777" w:rsidR="00447FAF" w:rsidRDefault="00865351">
      <w:pPr>
        <w:numPr>
          <w:ilvl w:val="2"/>
          <w:numId w:val="4"/>
        </w:numPr>
        <w:spacing w:before="120" w:line="276" w:lineRule="auto"/>
        <w:ind w:left="284" w:firstLine="0"/>
        <w:jc w:val="both"/>
        <w:rPr>
          <w:rFonts w:ascii="Arial" w:eastAsia="Arial" w:hAnsi="Arial" w:cs="Arial"/>
          <w:sz w:val="20"/>
          <w:szCs w:val="20"/>
        </w:rPr>
      </w:pPr>
      <w:bookmarkStart w:id="7" w:name="_heading=h.1t3h5sf" w:colFirst="0" w:colLast="0"/>
      <w:bookmarkEnd w:id="7"/>
      <w:r>
        <w:rPr>
          <w:rFonts w:ascii="Arial" w:eastAsia="Arial" w:hAnsi="Arial" w:cs="Arial"/>
          <w:b/>
          <w:sz w:val="20"/>
          <w:szCs w:val="20"/>
        </w:rPr>
        <w:t>Advertência</w:t>
      </w:r>
      <w:r>
        <w:rPr>
          <w:rFonts w:ascii="Arial" w:eastAsia="Arial" w:hAnsi="Arial" w:cs="Arial"/>
          <w:sz w:val="20"/>
          <w:szCs w:val="20"/>
        </w:rPr>
        <w:t xml:space="preserve">, quando o contratado der causa à inexecução parcial do contrato, sempre que não se justificar a imposição de </w:t>
      </w:r>
      <w:r>
        <w:rPr>
          <w:rFonts w:ascii="Arial" w:eastAsia="Arial" w:hAnsi="Arial" w:cs="Arial"/>
          <w:sz w:val="20"/>
          <w:szCs w:val="20"/>
        </w:rPr>
        <w:t>penalidade mais grave (</w:t>
      </w:r>
      <w:hyperlink r:id="rId32" w:anchor="art156%C2%A72">
        <w:r>
          <w:rPr>
            <w:rFonts w:ascii="Arial" w:eastAsia="Arial" w:hAnsi="Arial" w:cs="Arial"/>
            <w:color w:val="000080"/>
            <w:sz w:val="20"/>
            <w:szCs w:val="20"/>
            <w:u w:val="single"/>
          </w:rPr>
          <w:t>art. 156, §2º, da Lei nº 14.133, de 2021</w:t>
        </w:r>
      </w:hyperlink>
      <w:r>
        <w:rPr>
          <w:rFonts w:ascii="Arial" w:eastAsia="Arial" w:hAnsi="Arial" w:cs="Arial"/>
          <w:sz w:val="20"/>
          <w:szCs w:val="20"/>
        </w:rPr>
        <w:t>);</w:t>
      </w:r>
    </w:p>
    <w:p w14:paraId="296CD7BB" w14:textId="77777777" w:rsidR="00447FAF" w:rsidRDefault="00865351">
      <w:pPr>
        <w:numPr>
          <w:ilvl w:val="2"/>
          <w:numId w:val="4"/>
        </w:numPr>
        <w:spacing w:line="276" w:lineRule="auto"/>
        <w:ind w:left="284" w:firstLine="0"/>
        <w:jc w:val="both"/>
        <w:rPr>
          <w:rFonts w:ascii="Arial" w:eastAsia="Arial" w:hAnsi="Arial" w:cs="Arial"/>
          <w:sz w:val="20"/>
          <w:szCs w:val="20"/>
        </w:rPr>
      </w:pPr>
      <w:r>
        <w:rPr>
          <w:rFonts w:ascii="Arial" w:eastAsia="Arial" w:hAnsi="Arial" w:cs="Arial"/>
          <w:b/>
          <w:sz w:val="20"/>
          <w:szCs w:val="20"/>
        </w:rPr>
        <w:t>Impedimento de licitar e contratar</w:t>
      </w:r>
      <w:r>
        <w:rPr>
          <w:rFonts w:ascii="Arial" w:eastAsia="Arial" w:hAnsi="Arial" w:cs="Arial"/>
          <w:sz w:val="20"/>
          <w:szCs w:val="20"/>
        </w:rPr>
        <w:t>, quando praticadas as condutas descritas nas a</w:t>
      </w:r>
      <w:r>
        <w:rPr>
          <w:rFonts w:ascii="Arial" w:eastAsia="Arial" w:hAnsi="Arial" w:cs="Arial"/>
          <w:sz w:val="20"/>
          <w:szCs w:val="20"/>
        </w:rPr>
        <w:t>líneas “b”, “c” e “d” do subitem acima deste Contrato, sempre que não se justificar a imposição de penalidade mais grave (</w:t>
      </w:r>
      <w:hyperlink r:id="rId33" w:anchor="art156%C2%A74">
        <w:r>
          <w:rPr>
            <w:rFonts w:ascii="Arial" w:eastAsia="Arial" w:hAnsi="Arial" w:cs="Arial"/>
            <w:color w:val="000080"/>
            <w:sz w:val="20"/>
            <w:szCs w:val="20"/>
            <w:u w:val="single"/>
          </w:rPr>
          <w:t>art. 156, § 4º, da Lei nº</w:t>
        </w:r>
        <w:r>
          <w:rPr>
            <w:rFonts w:ascii="Arial" w:eastAsia="Arial" w:hAnsi="Arial" w:cs="Arial"/>
            <w:color w:val="000080"/>
            <w:sz w:val="20"/>
            <w:szCs w:val="20"/>
            <w:u w:val="single"/>
          </w:rPr>
          <w:t xml:space="preserve"> 14.133, de 2021</w:t>
        </w:r>
      </w:hyperlink>
      <w:r>
        <w:rPr>
          <w:rFonts w:ascii="Arial" w:eastAsia="Arial" w:hAnsi="Arial" w:cs="Arial"/>
          <w:sz w:val="20"/>
          <w:szCs w:val="20"/>
        </w:rPr>
        <w:t>);</w:t>
      </w:r>
    </w:p>
    <w:p w14:paraId="4F9CF12E" w14:textId="77777777" w:rsidR="00447FAF" w:rsidRDefault="00865351">
      <w:pPr>
        <w:numPr>
          <w:ilvl w:val="2"/>
          <w:numId w:val="4"/>
        </w:numPr>
        <w:spacing w:line="276" w:lineRule="auto"/>
        <w:ind w:left="284" w:firstLine="0"/>
        <w:jc w:val="both"/>
        <w:rPr>
          <w:rFonts w:ascii="Arial" w:eastAsia="Arial" w:hAnsi="Arial" w:cs="Arial"/>
          <w:sz w:val="20"/>
          <w:szCs w:val="20"/>
        </w:rPr>
      </w:pPr>
      <w:r>
        <w:rPr>
          <w:rFonts w:ascii="Arial" w:eastAsia="Arial" w:hAnsi="Arial" w:cs="Arial"/>
          <w:b/>
          <w:sz w:val="20"/>
          <w:szCs w:val="20"/>
        </w:rPr>
        <w:t>Declaração de inidoneidade para licitar e contratar</w:t>
      </w:r>
      <w:r>
        <w:rPr>
          <w:rFonts w:ascii="Arial" w:eastAsia="Arial" w:hAnsi="Arial" w:cs="Arial"/>
          <w:sz w:val="20"/>
          <w:szCs w:val="20"/>
        </w:rPr>
        <w:t xml:space="preserve">, quando praticadas as condutas descritas nas alíneas “e”, “f”, “g” e “h” do subitem acima deste Contrato, bem como nas alíneas “b”, “c” e “d”, que justifiquem a imposição de penalidade </w:t>
      </w:r>
      <w:r>
        <w:rPr>
          <w:rFonts w:ascii="Arial" w:eastAsia="Arial" w:hAnsi="Arial" w:cs="Arial"/>
          <w:sz w:val="20"/>
          <w:szCs w:val="20"/>
        </w:rPr>
        <w:t>mais grave (</w:t>
      </w:r>
      <w:hyperlink r:id="rId34" w:anchor="art156%C2%A75">
        <w:r>
          <w:rPr>
            <w:rFonts w:ascii="Arial" w:eastAsia="Arial" w:hAnsi="Arial" w:cs="Arial"/>
            <w:color w:val="000080"/>
            <w:sz w:val="20"/>
            <w:szCs w:val="20"/>
            <w:u w:val="single"/>
          </w:rPr>
          <w:t>art. 156, §5º, da Lei nº 14.133, de 2021</w:t>
        </w:r>
      </w:hyperlink>
      <w:r>
        <w:rPr>
          <w:rFonts w:ascii="Arial" w:eastAsia="Arial" w:hAnsi="Arial" w:cs="Arial"/>
          <w:sz w:val="20"/>
          <w:szCs w:val="20"/>
        </w:rPr>
        <w:t>).</w:t>
      </w:r>
    </w:p>
    <w:p w14:paraId="52DD6028" w14:textId="77777777" w:rsidR="00447FAF" w:rsidRDefault="00865351">
      <w:pPr>
        <w:numPr>
          <w:ilvl w:val="2"/>
          <w:numId w:val="4"/>
        </w:numPr>
        <w:spacing w:line="276" w:lineRule="auto"/>
        <w:ind w:left="284" w:firstLine="0"/>
        <w:jc w:val="both"/>
        <w:rPr>
          <w:rFonts w:ascii="Arial" w:eastAsia="Arial" w:hAnsi="Arial" w:cs="Arial"/>
          <w:sz w:val="20"/>
          <w:szCs w:val="20"/>
        </w:rPr>
      </w:pPr>
      <w:r>
        <w:rPr>
          <w:rFonts w:ascii="Arial" w:eastAsia="Arial" w:hAnsi="Arial" w:cs="Arial"/>
          <w:b/>
          <w:sz w:val="20"/>
          <w:szCs w:val="20"/>
        </w:rPr>
        <w:t>Multa:</w:t>
      </w:r>
    </w:p>
    <w:p w14:paraId="11BEAE55" w14:textId="77777777" w:rsidR="00447FAF" w:rsidRDefault="00865351">
      <w:pPr>
        <w:numPr>
          <w:ilvl w:val="3"/>
          <w:numId w:val="4"/>
        </w:numPr>
        <w:spacing w:line="276" w:lineRule="auto"/>
        <w:ind w:left="567" w:firstLine="0"/>
        <w:jc w:val="both"/>
        <w:rPr>
          <w:rFonts w:ascii="Arial" w:eastAsia="Arial" w:hAnsi="Arial" w:cs="Arial"/>
          <w:sz w:val="20"/>
          <w:szCs w:val="20"/>
        </w:rPr>
      </w:pPr>
      <w:r>
        <w:rPr>
          <w:rFonts w:ascii="Arial" w:eastAsia="Arial" w:hAnsi="Arial" w:cs="Arial"/>
          <w:sz w:val="20"/>
          <w:szCs w:val="20"/>
        </w:rPr>
        <w:t>Moratória de 0,5% (cinco décimos por cento) por dia de atraso injustificado sobre o v</w:t>
      </w:r>
      <w:r>
        <w:rPr>
          <w:rFonts w:ascii="Arial" w:eastAsia="Arial" w:hAnsi="Arial" w:cs="Arial"/>
          <w:sz w:val="20"/>
          <w:szCs w:val="20"/>
        </w:rPr>
        <w:t>alor da parcela inadimplida, até o limite de 30 (trinta) dias;</w:t>
      </w:r>
    </w:p>
    <w:p w14:paraId="5B32B783" w14:textId="77777777" w:rsidR="00447FAF" w:rsidRDefault="00865351">
      <w:pPr>
        <w:numPr>
          <w:ilvl w:val="3"/>
          <w:numId w:val="4"/>
        </w:numPr>
        <w:spacing w:line="276" w:lineRule="auto"/>
        <w:ind w:left="567" w:firstLine="0"/>
        <w:jc w:val="both"/>
        <w:rPr>
          <w:rFonts w:ascii="Arial" w:eastAsia="Arial" w:hAnsi="Arial" w:cs="Arial"/>
          <w:sz w:val="20"/>
          <w:szCs w:val="20"/>
        </w:rPr>
      </w:pPr>
      <w:r>
        <w:rPr>
          <w:rFonts w:ascii="Arial" w:eastAsia="Arial" w:hAnsi="Arial" w:cs="Arial"/>
          <w:sz w:val="20"/>
          <w:szCs w:val="20"/>
        </w:rPr>
        <w:t>Moratória de 0,07% (sete centésimos por cento)</w:t>
      </w:r>
      <w:r>
        <w:t xml:space="preserve"> </w:t>
      </w:r>
      <w:r>
        <w:rPr>
          <w:rFonts w:ascii="Arial" w:eastAsia="Arial" w:hAnsi="Arial" w:cs="Arial"/>
          <w:sz w:val="20"/>
          <w:szCs w:val="20"/>
        </w:rPr>
        <w:t>por dia de atraso injustificado sobre o valor total do contrato, até o máximo de 2 % (dois por cento), pela inobservância do prazo fixado para apr</w:t>
      </w:r>
      <w:r>
        <w:rPr>
          <w:rFonts w:ascii="Arial" w:eastAsia="Arial" w:hAnsi="Arial" w:cs="Arial"/>
          <w:sz w:val="20"/>
          <w:szCs w:val="20"/>
        </w:rPr>
        <w:t xml:space="preserve">esentação, suplementação ou reposição da garantia. </w:t>
      </w:r>
    </w:p>
    <w:p w14:paraId="43B7051D" w14:textId="77777777" w:rsidR="00447FAF" w:rsidRDefault="00865351">
      <w:pPr>
        <w:numPr>
          <w:ilvl w:val="7"/>
          <w:numId w:val="4"/>
        </w:numPr>
        <w:spacing w:line="276" w:lineRule="auto"/>
        <w:ind w:left="851" w:firstLine="0"/>
        <w:jc w:val="both"/>
        <w:rPr>
          <w:rFonts w:ascii="Arial" w:eastAsia="Arial" w:hAnsi="Arial" w:cs="Arial"/>
          <w:sz w:val="20"/>
          <w:szCs w:val="20"/>
        </w:rPr>
      </w:pPr>
      <w:r>
        <w:rPr>
          <w:rFonts w:ascii="Arial" w:eastAsia="Arial" w:hAnsi="Arial" w:cs="Arial"/>
          <w:sz w:val="20"/>
          <w:szCs w:val="20"/>
        </w:rPr>
        <w:t>O atraso superior a 25 (vinte e cinco) dias autoriza a Administração a promover a extinção do contrato por descumprimento ou cumprimento irregular de suas cláusulas, conforme dispõe o</w:t>
      </w:r>
      <w:r>
        <w:rPr>
          <w:rFonts w:ascii="Arial" w:eastAsia="Arial" w:hAnsi="Arial" w:cs="Arial"/>
          <w:i/>
          <w:sz w:val="20"/>
          <w:szCs w:val="20"/>
        </w:rPr>
        <w:t xml:space="preserve"> </w:t>
      </w:r>
      <w:hyperlink r:id="rId35" w:anchor="art137">
        <w:r>
          <w:rPr>
            <w:rFonts w:ascii="Arial" w:eastAsia="Arial" w:hAnsi="Arial" w:cs="Arial"/>
            <w:color w:val="000080"/>
            <w:sz w:val="20"/>
            <w:szCs w:val="20"/>
            <w:u w:val="single"/>
          </w:rPr>
          <w:t>inciso I do art. 137 da Lei n. 14.133, de 2021</w:t>
        </w:r>
      </w:hyperlink>
      <w:r>
        <w:rPr>
          <w:rFonts w:ascii="Arial" w:eastAsia="Arial" w:hAnsi="Arial" w:cs="Arial"/>
          <w:color w:val="FF0000"/>
          <w:sz w:val="20"/>
          <w:szCs w:val="20"/>
        </w:rPr>
        <w:t xml:space="preserve">. </w:t>
      </w:r>
    </w:p>
    <w:p w14:paraId="5F4C1249" w14:textId="77777777" w:rsidR="00447FAF" w:rsidRDefault="00865351">
      <w:pPr>
        <w:numPr>
          <w:ilvl w:val="3"/>
          <w:numId w:val="4"/>
        </w:numPr>
        <w:spacing w:line="276" w:lineRule="auto"/>
        <w:ind w:left="567" w:firstLine="0"/>
        <w:jc w:val="both"/>
        <w:rPr>
          <w:rFonts w:ascii="Arial" w:eastAsia="Arial" w:hAnsi="Arial" w:cs="Arial"/>
          <w:sz w:val="20"/>
          <w:szCs w:val="20"/>
        </w:rPr>
      </w:pPr>
      <w:r>
        <w:rPr>
          <w:rFonts w:ascii="Arial" w:eastAsia="Arial" w:hAnsi="Arial" w:cs="Arial"/>
          <w:sz w:val="20"/>
          <w:szCs w:val="20"/>
        </w:rPr>
        <w:t xml:space="preserve"> Compensatória, para as infrações descritas nas alíneas “e” a “h” do subitem 12.1, de 0,5% (cinco décimos por cento) a 10% (dez por cento) do valor do Contrato.</w:t>
      </w:r>
    </w:p>
    <w:p w14:paraId="046651D1" w14:textId="77777777" w:rsidR="00447FAF" w:rsidRDefault="00865351">
      <w:pPr>
        <w:numPr>
          <w:ilvl w:val="3"/>
          <w:numId w:val="4"/>
        </w:numPr>
        <w:spacing w:line="276" w:lineRule="auto"/>
        <w:ind w:left="567" w:firstLine="0"/>
        <w:jc w:val="both"/>
        <w:rPr>
          <w:rFonts w:ascii="Arial" w:eastAsia="Arial" w:hAnsi="Arial" w:cs="Arial"/>
          <w:sz w:val="20"/>
          <w:szCs w:val="20"/>
        </w:rPr>
      </w:pPr>
      <w:r>
        <w:rPr>
          <w:rFonts w:ascii="Arial" w:eastAsia="Arial" w:hAnsi="Arial" w:cs="Arial"/>
          <w:sz w:val="20"/>
          <w:szCs w:val="20"/>
        </w:rPr>
        <w:t>Compensatória, para a inexecução total do contrato prevista na alínea “c” do subitem 12.1, de 1</w:t>
      </w:r>
      <w:r>
        <w:rPr>
          <w:rFonts w:ascii="Arial" w:eastAsia="Arial" w:hAnsi="Arial" w:cs="Arial"/>
          <w:sz w:val="20"/>
          <w:szCs w:val="20"/>
        </w:rPr>
        <w:t xml:space="preserve">0% (dez por cento) a 30% (trinta por cento) do valor do Contrato. </w:t>
      </w:r>
    </w:p>
    <w:p w14:paraId="645D637D" w14:textId="77777777" w:rsidR="00447FAF" w:rsidRDefault="00865351">
      <w:pPr>
        <w:numPr>
          <w:ilvl w:val="3"/>
          <w:numId w:val="4"/>
        </w:numPr>
        <w:spacing w:line="276" w:lineRule="auto"/>
        <w:ind w:left="567" w:firstLine="0"/>
        <w:jc w:val="both"/>
        <w:rPr>
          <w:rFonts w:ascii="Arial" w:eastAsia="Arial" w:hAnsi="Arial" w:cs="Arial"/>
          <w:sz w:val="20"/>
          <w:szCs w:val="20"/>
        </w:rPr>
      </w:pPr>
      <w:r>
        <w:rPr>
          <w:rFonts w:ascii="Arial" w:eastAsia="Arial" w:hAnsi="Arial" w:cs="Arial"/>
          <w:sz w:val="20"/>
          <w:szCs w:val="20"/>
        </w:rPr>
        <w:t>Para infração descrita na alínea “b” do subitem 12.1, a multa será de 0,5% (cinco décimos por cento) a 10% (dez por cento) do valor do Contrato.</w:t>
      </w:r>
    </w:p>
    <w:p w14:paraId="6DBEA4D3" w14:textId="77777777" w:rsidR="00447FAF" w:rsidRDefault="00865351">
      <w:pPr>
        <w:numPr>
          <w:ilvl w:val="3"/>
          <w:numId w:val="4"/>
        </w:numPr>
        <w:spacing w:line="276" w:lineRule="auto"/>
        <w:ind w:left="567" w:firstLine="0"/>
        <w:jc w:val="both"/>
        <w:rPr>
          <w:rFonts w:ascii="Arial" w:eastAsia="Arial" w:hAnsi="Arial" w:cs="Arial"/>
          <w:sz w:val="20"/>
          <w:szCs w:val="20"/>
        </w:rPr>
      </w:pPr>
      <w:r>
        <w:rPr>
          <w:rFonts w:ascii="Arial" w:eastAsia="Arial" w:hAnsi="Arial" w:cs="Arial"/>
          <w:sz w:val="20"/>
          <w:szCs w:val="20"/>
        </w:rPr>
        <w:t>Para infrações descritas na alínea “d” do su</w:t>
      </w:r>
      <w:r>
        <w:rPr>
          <w:rFonts w:ascii="Arial" w:eastAsia="Arial" w:hAnsi="Arial" w:cs="Arial"/>
          <w:sz w:val="20"/>
          <w:szCs w:val="20"/>
        </w:rPr>
        <w:t xml:space="preserve">bitem 12.1, a multa será de 5% (cinco por cento) a 10% (dez por </w:t>
      </w:r>
      <w:proofErr w:type="gramStart"/>
      <w:r>
        <w:rPr>
          <w:rFonts w:ascii="Arial" w:eastAsia="Arial" w:hAnsi="Arial" w:cs="Arial"/>
          <w:sz w:val="20"/>
          <w:szCs w:val="20"/>
        </w:rPr>
        <w:t>cento)  do</w:t>
      </w:r>
      <w:proofErr w:type="gramEnd"/>
      <w:r>
        <w:rPr>
          <w:rFonts w:ascii="Arial" w:eastAsia="Arial" w:hAnsi="Arial" w:cs="Arial"/>
          <w:sz w:val="20"/>
          <w:szCs w:val="20"/>
        </w:rPr>
        <w:t xml:space="preserve"> valor do Contrato.</w:t>
      </w:r>
    </w:p>
    <w:p w14:paraId="45C61A81" w14:textId="77777777" w:rsidR="00447FAF" w:rsidRDefault="00865351">
      <w:pPr>
        <w:numPr>
          <w:ilvl w:val="3"/>
          <w:numId w:val="4"/>
        </w:numPr>
        <w:spacing w:line="276" w:lineRule="auto"/>
        <w:ind w:left="567" w:firstLine="0"/>
        <w:jc w:val="both"/>
        <w:rPr>
          <w:rFonts w:ascii="Arial" w:eastAsia="Arial" w:hAnsi="Arial" w:cs="Arial"/>
          <w:sz w:val="20"/>
          <w:szCs w:val="20"/>
        </w:rPr>
      </w:pPr>
      <w:r>
        <w:rPr>
          <w:rFonts w:ascii="Arial" w:eastAsia="Arial" w:hAnsi="Arial" w:cs="Arial"/>
          <w:sz w:val="20"/>
          <w:szCs w:val="20"/>
        </w:rPr>
        <w:t>Para a infração descrita na alínea “a” do subitem 12.1, a multa será de 5% (cinco por cento) a 25% (vinte e cinco por cento) do valor do Contrato.</w:t>
      </w:r>
    </w:p>
    <w:p w14:paraId="5BF39769"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aplicação das</w:t>
      </w:r>
      <w:r>
        <w:rPr>
          <w:rFonts w:ascii="Arial" w:eastAsia="Arial" w:hAnsi="Arial" w:cs="Arial"/>
          <w:color w:val="000000"/>
          <w:sz w:val="20"/>
          <w:szCs w:val="20"/>
        </w:rPr>
        <w:t xml:space="preserve"> sanções previstas neste Contrato não exclui, em hipótese alguma, a obrigação de reparação integral do dano causado ao Contratante (</w:t>
      </w:r>
      <w:hyperlink r:id="rId36" w:anchor="art156%C2%A79">
        <w:r>
          <w:rPr>
            <w:rFonts w:ascii="Arial" w:eastAsia="Arial" w:hAnsi="Arial" w:cs="Arial"/>
            <w:color w:val="000080"/>
            <w:sz w:val="20"/>
            <w:szCs w:val="20"/>
            <w:u w:val="single"/>
          </w:rPr>
          <w:t xml:space="preserve">art. 156, §9º, </w:t>
        </w:r>
        <w:r>
          <w:rPr>
            <w:rFonts w:ascii="Arial" w:eastAsia="Arial" w:hAnsi="Arial" w:cs="Arial"/>
            <w:color w:val="000080"/>
            <w:sz w:val="20"/>
            <w:szCs w:val="20"/>
            <w:u w:val="single"/>
          </w:rPr>
          <w:t>da Lei nº 14.133, de 2021</w:t>
        </w:r>
      </w:hyperlink>
      <w:r>
        <w:rPr>
          <w:rFonts w:ascii="Arial" w:eastAsia="Arial" w:hAnsi="Arial" w:cs="Arial"/>
          <w:color w:val="000000"/>
          <w:sz w:val="20"/>
          <w:szCs w:val="20"/>
        </w:rPr>
        <w:t>)</w:t>
      </w:r>
    </w:p>
    <w:p w14:paraId="2B047B1A"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Todas as sanções previstas neste Contrato poderão ser aplicadas cumulativamente com a multa (</w:t>
      </w:r>
      <w:hyperlink r:id="rId37" w:anchor="art156%C2%A77">
        <w:r>
          <w:rPr>
            <w:rFonts w:ascii="Arial" w:eastAsia="Arial" w:hAnsi="Arial" w:cs="Arial"/>
            <w:color w:val="000080"/>
            <w:sz w:val="20"/>
            <w:szCs w:val="20"/>
            <w:u w:val="single"/>
          </w:rPr>
          <w:t xml:space="preserve">art. 156, §7º, da Lei nº </w:t>
        </w:r>
        <w:r>
          <w:rPr>
            <w:rFonts w:ascii="Arial" w:eastAsia="Arial" w:hAnsi="Arial" w:cs="Arial"/>
            <w:color w:val="000080"/>
            <w:sz w:val="20"/>
            <w:szCs w:val="20"/>
            <w:u w:val="single"/>
          </w:rPr>
          <w:t>14.133, de 2021</w:t>
        </w:r>
      </w:hyperlink>
      <w:r>
        <w:rPr>
          <w:rFonts w:ascii="Arial" w:eastAsia="Arial" w:hAnsi="Arial" w:cs="Arial"/>
          <w:color w:val="000000"/>
          <w:sz w:val="20"/>
          <w:szCs w:val="20"/>
        </w:rPr>
        <w:t>).</w:t>
      </w:r>
    </w:p>
    <w:p w14:paraId="65F353C2"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Antes da aplicação da multa será facultada a defesa do interessado no prazo de 15 (quinze) dias úteis, contado da data de sua intimação (</w:t>
      </w:r>
      <w:hyperlink r:id="rId38" w:anchor="art157">
        <w:r>
          <w:rPr>
            <w:rFonts w:ascii="Arial" w:eastAsia="Arial" w:hAnsi="Arial" w:cs="Arial"/>
            <w:color w:val="000080"/>
            <w:sz w:val="20"/>
            <w:szCs w:val="20"/>
            <w:u w:val="single"/>
          </w:rPr>
          <w:t>art. 157, da Lei nº 14.133, de 2021</w:t>
        </w:r>
      </w:hyperlink>
      <w:r>
        <w:rPr>
          <w:rFonts w:ascii="Arial" w:eastAsia="Arial" w:hAnsi="Arial" w:cs="Arial"/>
          <w:color w:val="000000"/>
          <w:sz w:val="20"/>
          <w:szCs w:val="20"/>
        </w:rPr>
        <w:t>)</w:t>
      </w:r>
    </w:p>
    <w:p w14:paraId="42E125F9"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Se a multa aplicada e as indenizações cabíveis forem superiores ao valor do pagamento eventualmente devido pelo Contratante ao Contratado, além da perda desse valor, a diferença será descontada da garantia prestada ou </w:t>
      </w:r>
      <w:r>
        <w:rPr>
          <w:rFonts w:ascii="Arial" w:eastAsia="Arial" w:hAnsi="Arial" w:cs="Arial"/>
          <w:color w:val="000000"/>
          <w:sz w:val="20"/>
          <w:szCs w:val="20"/>
        </w:rPr>
        <w:t>será cobrada judicialmente (</w:t>
      </w:r>
      <w:hyperlink r:id="rId39" w:anchor="art156%C2%A78">
        <w:r>
          <w:rPr>
            <w:rFonts w:ascii="Arial" w:eastAsia="Arial" w:hAnsi="Arial" w:cs="Arial"/>
            <w:color w:val="000080"/>
            <w:sz w:val="20"/>
            <w:szCs w:val="20"/>
            <w:u w:val="single"/>
          </w:rPr>
          <w:t>art. 156, §8º, da Lei nº 14.133, de 2021</w:t>
        </w:r>
      </w:hyperlink>
      <w:r>
        <w:rPr>
          <w:rFonts w:ascii="Arial" w:eastAsia="Arial" w:hAnsi="Arial" w:cs="Arial"/>
          <w:color w:val="000000"/>
          <w:sz w:val="20"/>
          <w:szCs w:val="20"/>
        </w:rPr>
        <w:t>).</w:t>
      </w:r>
    </w:p>
    <w:p w14:paraId="527A9BE5" w14:textId="77777777" w:rsidR="00447FAF" w:rsidRDefault="00865351">
      <w:pPr>
        <w:numPr>
          <w:ilvl w:val="2"/>
          <w:numId w:val="1"/>
        </w:numPr>
        <w:pBdr>
          <w:top w:val="nil"/>
          <w:left w:val="nil"/>
          <w:bottom w:val="nil"/>
          <w:right w:val="nil"/>
          <w:between w:val="nil"/>
        </w:pBdr>
        <w:spacing w:before="120" w:after="120" w:line="276" w:lineRule="auto"/>
        <w:jc w:val="both"/>
      </w:pPr>
      <w:bookmarkStart w:id="8" w:name="_heading=h.4d34og8" w:colFirst="0" w:colLast="0"/>
      <w:bookmarkEnd w:id="8"/>
      <w:r>
        <w:rPr>
          <w:rFonts w:ascii="Arial" w:eastAsia="Arial" w:hAnsi="Arial" w:cs="Arial"/>
          <w:color w:val="000000"/>
          <w:sz w:val="20"/>
          <w:szCs w:val="20"/>
        </w:rPr>
        <w:lastRenderedPageBreak/>
        <w:t>Previamente ao encaminhamento à cobrança judicial, a multa poderá ser recolh</w:t>
      </w:r>
      <w:r>
        <w:rPr>
          <w:rFonts w:ascii="Arial" w:eastAsia="Arial" w:hAnsi="Arial" w:cs="Arial"/>
          <w:color w:val="000000"/>
          <w:sz w:val="20"/>
          <w:szCs w:val="20"/>
        </w:rPr>
        <w:t xml:space="preserve">ida administrativamente no prazo máximo de </w:t>
      </w:r>
      <w:r>
        <w:rPr>
          <w:rFonts w:ascii="Arial" w:eastAsia="Arial" w:hAnsi="Arial" w:cs="Arial"/>
          <w:sz w:val="20"/>
          <w:szCs w:val="20"/>
        </w:rPr>
        <w:t>30 (trinta) dias, a contar da data do recebimento da comunicação enviada pela autoridade compete</w:t>
      </w:r>
      <w:r>
        <w:rPr>
          <w:rFonts w:ascii="Arial" w:eastAsia="Arial" w:hAnsi="Arial" w:cs="Arial"/>
          <w:color w:val="000000"/>
          <w:sz w:val="20"/>
          <w:szCs w:val="20"/>
        </w:rPr>
        <w:t>nte.</w:t>
      </w:r>
    </w:p>
    <w:p w14:paraId="44BB833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aplicação das sanções realizar-se-á em processo administrativo que assegure o contraditório e a ampla defesa a</w:t>
      </w:r>
      <w:r>
        <w:rPr>
          <w:rFonts w:ascii="Arial" w:eastAsia="Arial" w:hAnsi="Arial" w:cs="Arial"/>
          <w:color w:val="000000"/>
          <w:sz w:val="20"/>
          <w:szCs w:val="20"/>
        </w:rPr>
        <w:t xml:space="preserve">o Contratado, observando-se o procedimento previsto no </w:t>
      </w:r>
      <w:r>
        <w:rPr>
          <w:rFonts w:ascii="Arial" w:eastAsia="Arial" w:hAnsi="Arial" w:cs="Arial"/>
          <w:b/>
          <w:color w:val="000000"/>
          <w:sz w:val="20"/>
          <w:szCs w:val="20"/>
        </w:rPr>
        <w:t xml:space="preserve">caput </w:t>
      </w:r>
      <w:r>
        <w:rPr>
          <w:rFonts w:ascii="Arial" w:eastAsia="Arial" w:hAnsi="Arial" w:cs="Arial"/>
          <w:color w:val="000000"/>
          <w:sz w:val="20"/>
          <w:szCs w:val="20"/>
        </w:rPr>
        <w:t xml:space="preserve">e parágrafos do </w:t>
      </w:r>
      <w:hyperlink r:id="rId40" w:anchor="art158">
        <w:r>
          <w:rPr>
            <w:rFonts w:ascii="Arial" w:eastAsia="Arial" w:hAnsi="Arial" w:cs="Arial"/>
            <w:color w:val="000080"/>
            <w:sz w:val="20"/>
            <w:szCs w:val="20"/>
            <w:u w:val="single"/>
          </w:rPr>
          <w:t>art. 158 da Lei nº 14.133, de 2021</w:t>
        </w:r>
      </w:hyperlink>
      <w:r>
        <w:rPr>
          <w:rFonts w:ascii="Arial" w:eastAsia="Arial" w:hAnsi="Arial" w:cs="Arial"/>
          <w:color w:val="000000"/>
          <w:sz w:val="20"/>
          <w:szCs w:val="20"/>
        </w:rPr>
        <w:t>, para as penalidades de impedimento de lic</w:t>
      </w:r>
      <w:r>
        <w:rPr>
          <w:rFonts w:ascii="Arial" w:eastAsia="Arial" w:hAnsi="Arial" w:cs="Arial"/>
          <w:color w:val="000000"/>
          <w:sz w:val="20"/>
          <w:szCs w:val="20"/>
        </w:rPr>
        <w:t>itar e contratar e de declaração de inidoneidade para licitar ou contratar.</w:t>
      </w:r>
    </w:p>
    <w:p w14:paraId="68A6E6A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aplicação das sanções serão considerados (</w:t>
      </w:r>
      <w:hyperlink r:id="rId41" w:anchor="art156%C2%A71">
        <w:r>
          <w:rPr>
            <w:rFonts w:ascii="Arial" w:eastAsia="Arial" w:hAnsi="Arial" w:cs="Arial"/>
            <w:color w:val="000080"/>
            <w:sz w:val="20"/>
            <w:szCs w:val="20"/>
            <w:u w:val="single"/>
          </w:rPr>
          <w:t>art. 156, §1º, da Lei nº 1</w:t>
        </w:r>
        <w:r>
          <w:rPr>
            <w:rFonts w:ascii="Arial" w:eastAsia="Arial" w:hAnsi="Arial" w:cs="Arial"/>
            <w:color w:val="000080"/>
            <w:sz w:val="20"/>
            <w:szCs w:val="20"/>
            <w:u w:val="single"/>
          </w:rPr>
          <w:t>4.133, de 2021</w:t>
        </w:r>
      </w:hyperlink>
      <w:r>
        <w:rPr>
          <w:rFonts w:ascii="Arial" w:eastAsia="Arial" w:hAnsi="Arial" w:cs="Arial"/>
          <w:color w:val="000000"/>
          <w:sz w:val="20"/>
          <w:szCs w:val="20"/>
        </w:rPr>
        <w:t>):</w:t>
      </w:r>
    </w:p>
    <w:p w14:paraId="65EC25B4" w14:textId="77777777" w:rsidR="00447FAF" w:rsidRDefault="00865351">
      <w:pPr>
        <w:numPr>
          <w:ilvl w:val="0"/>
          <w:numId w:val="2"/>
        </w:numPr>
        <w:spacing w:before="120" w:line="312" w:lineRule="auto"/>
        <w:ind w:left="284" w:firstLine="0"/>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natureza e a gravidade da infração cometida;</w:t>
      </w:r>
    </w:p>
    <w:p w14:paraId="2F6F66B3" w14:textId="77777777" w:rsidR="00447FAF" w:rsidRDefault="00865351">
      <w:pPr>
        <w:numPr>
          <w:ilvl w:val="0"/>
          <w:numId w:val="2"/>
        </w:numPr>
        <w:spacing w:line="312" w:lineRule="auto"/>
        <w:ind w:left="284" w:firstLine="0"/>
        <w:jc w:val="both"/>
        <w:rPr>
          <w:rFonts w:ascii="Arial" w:eastAsia="Arial" w:hAnsi="Arial" w:cs="Arial"/>
          <w:sz w:val="20"/>
          <w:szCs w:val="20"/>
        </w:rPr>
      </w:pPr>
      <w:proofErr w:type="gramStart"/>
      <w:r>
        <w:rPr>
          <w:rFonts w:ascii="Arial" w:eastAsia="Arial" w:hAnsi="Arial" w:cs="Arial"/>
          <w:sz w:val="20"/>
          <w:szCs w:val="20"/>
        </w:rPr>
        <w:t>as</w:t>
      </w:r>
      <w:proofErr w:type="gramEnd"/>
      <w:r>
        <w:rPr>
          <w:rFonts w:ascii="Arial" w:eastAsia="Arial" w:hAnsi="Arial" w:cs="Arial"/>
          <w:sz w:val="20"/>
          <w:szCs w:val="20"/>
        </w:rPr>
        <w:t xml:space="preserve"> peculiaridades do caso concreto;</w:t>
      </w:r>
    </w:p>
    <w:p w14:paraId="5FC3A19D" w14:textId="77777777" w:rsidR="00447FAF" w:rsidRDefault="00865351">
      <w:pPr>
        <w:numPr>
          <w:ilvl w:val="0"/>
          <w:numId w:val="2"/>
        </w:numPr>
        <w:spacing w:line="312" w:lineRule="auto"/>
        <w:ind w:left="284" w:firstLine="0"/>
        <w:jc w:val="both"/>
        <w:rPr>
          <w:rFonts w:ascii="Arial" w:eastAsia="Arial" w:hAnsi="Arial" w:cs="Arial"/>
          <w:sz w:val="20"/>
          <w:szCs w:val="20"/>
        </w:rPr>
      </w:pPr>
      <w:proofErr w:type="gramStart"/>
      <w:r>
        <w:rPr>
          <w:rFonts w:ascii="Arial" w:eastAsia="Arial" w:hAnsi="Arial" w:cs="Arial"/>
          <w:sz w:val="20"/>
          <w:szCs w:val="20"/>
        </w:rPr>
        <w:t>as</w:t>
      </w:r>
      <w:proofErr w:type="gramEnd"/>
      <w:r>
        <w:rPr>
          <w:rFonts w:ascii="Arial" w:eastAsia="Arial" w:hAnsi="Arial" w:cs="Arial"/>
          <w:sz w:val="20"/>
          <w:szCs w:val="20"/>
        </w:rPr>
        <w:t xml:space="preserve"> circunstâncias agravantes ou atenuantes;</w:t>
      </w:r>
    </w:p>
    <w:p w14:paraId="6F1BF3E7" w14:textId="77777777" w:rsidR="00447FAF" w:rsidRDefault="00865351">
      <w:pPr>
        <w:numPr>
          <w:ilvl w:val="0"/>
          <w:numId w:val="2"/>
        </w:numPr>
        <w:spacing w:line="312" w:lineRule="auto"/>
        <w:ind w:left="284" w:firstLine="0"/>
        <w:jc w:val="both"/>
        <w:rPr>
          <w:rFonts w:ascii="Arial" w:eastAsia="Arial" w:hAnsi="Arial" w:cs="Arial"/>
          <w:sz w:val="20"/>
          <w:szCs w:val="20"/>
        </w:rPr>
      </w:pPr>
      <w:proofErr w:type="gramStart"/>
      <w:r>
        <w:rPr>
          <w:rFonts w:ascii="Arial" w:eastAsia="Arial" w:hAnsi="Arial" w:cs="Arial"/>
          <w:sz w:val="20"/>
          <w:szCs w:val="20"/>
        </w:rPr>
        <w:t>os</w:t>
      </w:r>
      <w:proofErr w:type="gramEnd"/>
      <w:r>
        <w:rPr>
          <w:rFonts w:ascii="Arial" w:eastAsia="Arial" w:hAnsi="Arial" w:cs="Arial"/>
          <w:sz w:val="20"/>
          <w:szCs w:val="20"/>
        </w:rPr>
        <w:t xml:space="preserve"> danos que dela provierem para o Contratante;</w:t>
      </w:r>
    </w:p>
    <w:p w14:paraId="1E68C607" w14:textId="77777777" w:rsidR="00447FAF" w:rsidRDefault="00865351">
      <w:pPr>
        <w:numPr>
          <w:ilvl w:val="0"/>
          <w:numId w:val="2"/>
        </w:numPr>
        <w:spacing w:after="120" w:line="312" w:lineRule="auto"/>
        <w:ind w:left="284" w:firstLine="0"/>
        <w:jc w:val="both"/>
        <w:rPr>
          <w:rFonts w:ascii="Arial" w:eastAsia="Arial" w:hAnsi="Arial" w:cs="Arial"/>
          <w:sz w:val="20"/>
          <w:szCs w:val="20"/>
        </w:rPr>
      </w:pPr>
      <w:proofErr w:type="gramStart"/>
      <w:r>
        <w:rPr>
          <w:rFonts w:ascii="Arial" w:eastAsia="Arial" w:hAnsi="Arial" w:cs="Arial"/>
          <w:sz w:val="20"/>
          <w:szCs w:val="20"/>
        </w:rPr>
        <w:t>a</w:t>
      </w:r>
      <w:proofErr w:type="gramEnd"/>
      <w:r>
        <w:rPr>
          <w:rFonts w:ascii="Arial" w:eastAsia="Arial" w:hAnsi="Arial" w:cs="Arial"/>
          <w:sz w:val="20"/>
          <w:szCs w:val="20"/>
        </w:rPr>
        <w:t xml:space="preserve"> implantação ou o aperfeiçoamento de programa de integridade, </w:t>
      </w:r>
      <w:r>
        <w:rPr>
          <w:rFonts w:ascii="Arial" w:eastAsia="Arial" w:hAnsi="Arial" w:cs="Arial"/>
          <w:sz w:val="20"/>
          <w:szCs w:val="20"/>
        </w:rPr>
        <w:t>conforme normas e orientações dos órgãos de controle.</w:t>
      </w:r>
    </w:p>
    <w:p w14:paraId="3481BD9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atos previstos como infrações administrativas na </w:t>
      </w:r>
      <w:hyperlink r:id="rId4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ou em outras leis de licitações e co</w:t>
      </w:r>
      <w:r>
        <w:rPr>
          <w:rFonts w:ascii="Arial" w:eastAsia="Arial" w:hAnsi="Arial" w:cs="Arial"/>
          <w:color w:val="000000"/>
          <w:sz w:val="20"/>
          <w:szCs w:val="20"/>
        </w:rPr>
        <w:t xml:space="preserve">ntratos da Administração Pública que também sejam tipificados como atos lesivos </w:t>
      </w:r>
      <w:hyperlink r:id="rId43">
        <w:r>
          <w:rPr>
            <w:rFonts w:ascii="Arial" w:eastAsia="Arial" w:hAnsi="Arial" w:cs="Arial"/>
            <w:color w:val="000080"/>
            <w:sz w:val="20"/>
            <w:szCs w:val="20"/>
            <w:u w:val="single"/>
          </w:rPr>
          <w:t>na Lei nº 12.846, de 2013</w:t>
        </w:r>
      </w:hyperlink>
      <w:r>
        <w:rPr>
          <w:rFonts w:ascii="Arial" w:eastAsia="Arial" w:hAnsi="Arial" w:cs="Arial"/>
          <w:color w:val="000000"/>
          <w:sz w:val="20"/>
          <w:szCs w:val="20"/>
        </w:rPr>
        <w:t>, serão apurados e julgados conjuntamente, nos mesmos autos,</w:t>
      </w:r>
      <w:r>
        <w:rPr>
          <w:rFonts w:ascii="Arial" w:eastAsia="Arial" w:hAnsi="Arial" w:cs="Arial"/>
          <w:color w:val="000000"/>
          <w:sz w:val="20"/>
          <w:szCs w:val="20"/>
        </w:rPr>
        <w:t xml:space="preserve"> observados o rito procedimental e autoridade competente definidos na referida </w:t>
      </w:r>
      <w:hyperlink r:id="rId44" w:anchor="art159">
        <w:r>
          <w:rPr>
            <w:rFonts w:ascii="Arial" w:eastAsia="Arial" w:hAnsi="Arial" w:cs="Arial"/>
            <w:color w:val="000080"/>
            <w:sz w:val="20"/>
            <w:szCs w:val="20"/>
            <w:u w:val="single"/>
          </w:rPr>
          <w:t>Lei (art. 159</w:t>
        </w:r>
      </w:hyperlink>
      <w:r>
        <w:rPr>
          <w:rFonts w:ascii="Arial" w:eastAsia="Arial" w:hAnsi="Arial" w:cs="Arial"/>
          <w:color w:val="000000"/>
          <w:sz w:val="20"/>
          <w:szCs w:val="20"/>
        </w:rPr>
        <w:t>).</w:t>
      </w:r>
    </w:p>
    <w:p w14:paraId="7053AC96"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A personalidade jurídica do Contratado poderá ser desconsid</w:t>
      </w:r>
      <w:r>
        <w:rPr>
          <w:rFonts w:ascii="Arial" w:eastAsia="Arial" w:hAnsi="Arial" w:cs="Arial"/>
          <w:color w:val="000000"/>
          <w:sz w:val="20"/>
          <w:szCs w:val="20"/>
        </w:rPr>
        <w:t>erada sempre que utilizada com abuso do direito para facilitar, encobrir ou dissimular a prática dos atos ilícitos previstos neste Contrato ou para provocar confusão patrimonial, e, nesse caso, todos os efeitos das sanções aplicadas à pessoa jurídica serão</w:t>
      </w:r>
      <w:r>
        <w:rPr>
          <w:rFonts w:ascii="Arial" w:eastAsia="Arial" w:hAnsi="Arial" w:cs="Arial"/>
          <w:color w:val="000000"/>
          <w:sz w:val="20"/>
          <w:szCs w:val="20"/>
        </w:rPr>
        <w:t xml:space="preserve"> estendidos aos seus administradores e sócios com poderes de administração, à pessoa jurídica sucessora ou à empresa do mesmo ramo com relação de coligação ou controle, de fato ou de direito, com o Contratado, observados, em todos os casos, o contraditório</w:t>
      </w:r>
      <w:r>
        <w:rPr>
          <w:rFonts w:ascii="Arial" w:eastAsia="Arial" w:hAnsi="Arial" w:cs="Arial"/>
          <w:color w:val="000000"/>
          <w:sz w:val="20"/>
          <w:szCs w:val="20"/>
        </w:rPr>
        <w:t>, a ampla defesa e a obrigatoriedade de análise jurídica prévia (</w:t>
      </w:r>
      <w:hyperlink r:id="rId45" w:anchor="art160">
        <w:r>
          <w:rPr>
            <w:rFonts w:ascii="Arial" w:eastAsia="Arial" w:hAnsi="Arial" w:cs="Arial"/>
            <w:color w:val="000080"/>
            <w:sz w:val="20"/>
            <w:szCs w:val="20"/>
            <w:u w:val="single"/>
          </w:rPr>
          <w:t>art. 160, da Lei nº 14.133, de 2021</w:t>
        </w:r>
      </w:hyperlink>
      <w:r>
        <w:rPr>
          <w:rFonts w:ascii="Arial" w:eastAsia="Arial" w:hAnsi="Arial" w:cs="Arial"/>
          <w:color w:val="000000"/>
          <w:sz w:val="20"/>
          <w:szCs w:val="20"/>
        </w:rPr>
        <w:t>)</w:t>
      </w:r>
    </w:p>
    <w:p w14:paraId="5510E90E"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 O Contratante deverá, no prazo máximo de 15 (quinze</w:t>
      </w:r>
      <w:r>
        <w:rPr>
          <w:rFonts w:ascii="Arial" w:eastAsia="Arial" w:hAnsi="Arial" w:cs="Arial"/>
          <w:color w:val="000000"/>
          <w:sz w:val="20"/>
          <w:szCs w:val="20"/>
        </w:rPr>
        <w:t>) dias úteis, contado da data de aplicação da sanção, informar e manter atualizados os dados relativos às sanções por ela aplicadas, para fins de publicidade no Cadastro Nacional de Empresas Inidôneas e Suspensas (</w:t>
      </w:r>
      <w:proofErr w:type="spellStart"/>
      <w:r>
        <w:rPr>
          <w:rFonts w:ascii="Arial" w:eastAsia="Arial" w:hAnsi="Arial" w:cs="Arial"/>
          <w:color w:val="000000"/>
          <w:sz w:val="20"/>
          <w:szCs w:val="20"/>
        </w:rPr>
        <w:t>Ceis</w:t>
      </w:r>
      <w:proofErr w:type="spellEnd"/>
      <w:r>
        <w:rPr>
          <w:rFonts w:ascii="Arial" w:eastAsia="Arial" w:hAnsi="Arial" w:cs="Arial"/>
          <w:color w:val="000000"/>
          <w:sz w:val="20"/>
          <w:szCs w:val="20"/>
        </w:rPr>
        <w:t>) e no Cadastro Nacional de Empresas P</w:t>
      </w:r>
      <w:r>
        <w:rPr>
          <w:rFonts w:ascii="Arial" w:eastAsia="Arial" w:hAnsi="Arial" w:cs="Arial"/>
          <w:color w:val="000000"/>
          <w:sz w:val="20"/>
          <w:szCs w:val="20"/>
        </w:rPr>
        <w:t>unidas (</w:t>
      </w:r>
      <w:proofErr w:type="spellStart"/>
      <w:r>
        <w:rPr>
          <w:rFonts w:ascii="Arial" w:eastAsia="Arial" w:hAnsi="Arial" w:cs="Arial"/>
          <w:color w:val="000000"/>
          <w:sz w:val="20"/>
          <w:szCs w:val="20"/>
        </w:rPr>
        <w:t>Cnep</w:t>
      </w:r>
      <w:proofErr w:type="spellEnd"/>
      <w:r>
        <w:rPr>
          <w:rFonts w:ascii="Arial" w:eastAsia="Arial" w:hAnsi="Arial" w:cs="Arial"/>
          <w:color w:val="000000"/>
          <w:sz w:val="20"/>
          <w:szCs w:val="20"/>
        </w:rPr>
        <w:t>), instituídos no âmbito do Poder Executivo Federal. (</w:t>
      </w:r>
      <w:hyperlink r:id="rId46" w:anchor="art161">
        <w:r>
          <w:rPr>
            <w:rFonts w:ascii="Arial" w:eastAsia="Arial" w:hAnsi="Arial" w:cs="Arial"/>
            <w:color w:val="000080"/>
            <w:sz w:val="20"/>
            <w:szCs w:val="20"/>
            <w:u w:val="single"/>
          </w:rPr>
          <w:t>Art. 161, da Lei nº 14.133, de 2021</w:t>
        </w:r>
      </w:hyperlink>
      <w:r>
        <w:rPr>
          <w:rFonts w:ascii="Arial" w:eastAsia="Arial" w:hAnsi="Arial" w:cs="Arial"/>
          <w:color w:val="000000"/>
          <w:sz w:val="20"/>
          <w:szCs w:val="20"/>
        </w:rPr>
        <w:t>)</w:t>
      </w:r>
    </w:p>
    <w:p w14:paraId="04C9B3F4"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As sanções de impedimento de licitar e contratar e </w:t>
      </w:r>
      <w:r>
        <w:rPr>
          <w:rFonts w:ascii="Arial" w:eastAsia="Arial" w:hAnsi="Arial" w:cs="Arial"/>
          <w:color w:val="000000"/>
          <w:sz w:val="20"/>
          <w:szCs w:val="20"/>
        </w:rPr>
        <w:t xml:space="preserve">declaração de inidoneidade para licitar ou contratar são passíveis de reabilitação na forma do </w:t>
      </w:r>
      <w:hyperlink r:id="rId47" w:anchor="art163">
        <w:r>
          <w:rPr>
            <w:rFonts w:ascii="Arial" w:eastAsia="Arial" w:hAnsi="Arial" w:cs="Arial"/>
            <w:color w:val="000080"/>
            <w:sz w:val="20"/>
            <w:szCs w:val="20"/>
            <w:u w:val="single"/>
          </w:rPr>
          <w:t>art. 163 da Lei nº 14.133/21.</w:t>
        </w:r>
      </w:hyperlink>
    </w:p>
    <w:p w14:paraId="4909406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Os débitos do contratado para</w:t>
      </w:r>
      <w:r>
        <w:rPr>
          <w:rFonts w:ascii="Arial" w:eastAsia="Arial" w:hAnsi="Arial" w:cs="Arial"/>
          <w:color w:val="000000"/>
          <w:sz w:val="20"/>
          <w:szCs w:val="20"/>
        </w:rPr>
        <w:t xml:space="preserve"> com a Administração contratante, resultantes de multa administrativa e/ou indenizações, não inscritos em dívida ativa, poderão ser compensados, total ou parcialmente, com os créditos devidos pelo referido órgão decorrentes deste mesmo contrato ou de outro</w:t>
      </w:r>
      <w:r>
        <w:rPr>
          <w:rFonts w:ascii="Arial" w:eastAsia="Arial" w:hAnsi="Arial" w:cs="Arial"/>
          <w:color w:val="000000"/>
          <w:sz w:val="20"/>
          <w:szCs w:val="20"/>
        </w:rPr>
        <w:t xml:space="preserve">s contratos administrativos que o contratado possua com o mesmo órgão ora contratante, na forma da </w:t>
      </w:r>
      <w:hyperlink r:id="rId48">
        <w:r>
          <w:rPr>
            <w:rFonts w:ascii="Arial" w:eastAsia="Arial" w:hAnsi="Arial" w:cs="Arial"/>
            <w:color w:val="000080"/>
            <w:sz w:val="20"/>
            <w:szCs w:val="20"/>
            <w:u w:val="single"/>
          </w:rPr>
          <w:t>Instrução Normativa SEGES/ME nº 26, de 13 de abril de 2022</w:t>
        </w:r>
      </w:hyperlink>
      <w:r>
        <w:rPr>
          <w:rFonts w:ascii="Arial" w:eastAsia="Arial" w:hAnsi="Arial" w:cs="Arial"/>
          <w:color w:val="000000"/>
          <w:sz w:val="20"/>
          <w:szCs w:val="20"/>
        </w:rPr>
        <w:t xml:space="preserve">. </w:t>
      </w:r>
    </w:p>
    <w:p w14:paraId="02F88211"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DÉCIMA TERCEIRA – DA EXTINÇÃO CONTRATUAL (</w:t>
      </w:r>
      <w:hyperlink r:id="rId49" w:anchor="art92">
        <w:r>
          <w:rPr>
            <w:rFonts w:ascii="Arial" w:eastAsia="Arial" w:hAnsi="Arial" w:cs="Arial"/>
            <w:b/>
            <w:color w:val="000080"/>
            <w:sz w:val="20"/>
            <w:szCs w:val="20"/>
            <w:u w:val="single"/>
          </w:rPr>
          <w:t>art. 92, XIX</w:t>
        </w:r>
      </w:hyperlink>
      <w:r>
        <w:rPr>
          <w:rFonts w:ascii="Arial" w:eastAsia="Arial" w:hAnsi="Arial" w:cs="Arial"/>
          <w:b/>
          <w:color w:val="000000"/>
          <w:sz w:val="20"/>
          <w:szCs w:val="20"/>
        </w:rPr>
        <w:t xml:space="preserve">) </w:t>
      </w:r>
    </w:p>
    <w:p w14:paraId="12A28711"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contrato será </w:t>
      </w:r>
      <w:r>
        <w:rPr>
          <w:rFonts w:ascii="Arial" w:eastAsia="Arial" w:hAnsi="Arial" w:cs="Arial"/>
          <w:color w:val="000000"/>
          <w:sz w:val="20"/>
          <w:szCs w:val="20"/>
        </w:rPr>
        <w:t>extinto quando vencido o prazo nele estipulado, independentemente de terem sido cumpridas ou não as obrigações de ambas as partes contraentes.</w:t>
      </w:r>
    </w:p>
    <w:p w14:paraId="0024563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O contrato poderá ser extinto antes do prazo nele fixado, sem ônus para o contratante, quando este não dispuser d</w:t>
      </w:r>
      <w:r>
        <w:rPr>
          <w:rFonts w:ascii="Arial" w:eastAsia="Arial" w:hAnsi="Arial" w:cs="Arial"/>
          <w:color w:val="000000"/>
          <w:sz w:val="20"/>
          <w:szCs w:val="20"/>
        </w:rPr>
        <w:t>e créditos orçamentários para sua continuidade ou quando entender que o contrato não mais lhe oferece vantagem.</w:t>
      </w:r>
    </w:p>
    <w:p w14:paraId="0D0B7D6E"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extinção nesta hipótese ocorrerá na próxima data de aniversário do contrato, desde que haja a notificação do contratado pelo contratante nesse</w:t>
      </w:r>
      <w:r>
        <w:rPr>
          <w:rFonts w:ascii="Arial" w:eastAsia="Arial" w:hAnsi="Arial" w:cs="Arial"/>
          <w:color w:val="000000"/>
          <w:sz w:val="20"/>
          <w:szCs w:val="20"/>
        </w:rPr>
        <w:t xml:space="preserve"> sentido com pelo menos 2 (dois) meses de antecedência desse dia.</w:t>
      </w:r>
    </w:p>
    <w:p w14:paraId="0CD7A075"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Caso a notificação da não-continuidade do contrato de que trata este subitem ocorra com menos de 2 (dois) meses da data de aniversário, a extinção contratual ocorrerá após 2 (dois) meses da </w:t>
      </w:r>
      <w:r>
        <w:rPr>
          <w:rFonts w:ascii="Arial" w:eastAsia="Arial" w:hAnsi="Arial" w:cs="Arial"/>
          <w:color w:val="000000"/>
          <w:sz w:val="20"/>
          <w:szCs w:val="20"/>
        </w:rPr>
        <w:t>data da comunicação.</w:t>
      </w:r>
    </w:p>
    <w:p w14:paraId="473372E6"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contrato poderá ser extinto antes de cumpridas as obrigações nele estipuladas, ou antes do prazo nele fixado, por algum dos motivos previstos no </w:t>
      </w:r>
      <w:hyperlink r:id="rId50" w:anchor="art137">
        <w:r>
          <w:rPr>
            <w:rFonts w:ascii="Arial" w:eastAsia="Arial" w:hAnsi="Arial" w:cs="Arial"/>
            <w:color w:val="000080"/>
            <w:sz w:val="20"/>
            <w:szCs w:val="20"/>
            <w:u w:val="single"/>
          </w:rPr>
          <w:t>artigo 137 da Lei nº 14.133/21</w:t>
        </w:r>
      </w:hyperlink>
      <w:r>
        <w:rPr>
          <w:rFonts w:ascii="Arial" w:eastAsia="Arial" w:hAnsi="Arial" w:cs="Arial"/>
          <w:color w:val="000000"/>
          <w:sz w:val="20"/>
          <w:szCs w:val="20"/>
        </w:rPr>
        <w:t>, bem como amigavelmente, assegurados o contraditório e a ampla defesa.</w:t>
      </w:r>
    </w:p>
    <w:p w14:paraId="1BCBBA4D" w14:textId="77777777" w:rsidR="00447FAF" w:rsidRDefault="00865351">
      <w:pPr>
        <w:numPr>
          <w:ilvl w:val="3"/>
          <w:numId w:val="1"/>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 xml:space="preserve">Nesta hipótese, aplicam-se também os </w:t>
      </w:r>
      <w:hyperlink r:id="rId51" w:anchor="art138">
        <w:r>
          <w:rPr>
            <w:rFonts w:ascii="Arial" w:eastAsia="Arial" w:hAnsi="Arial" w:cs="Arial"/>
            <w:color w:val="000080"/>
            <w:sz w:val="20"/>
            <w:szCs w:val="20"/>
            <w:u w:val="single"/>
          </w:rPr>
          <w:t>a</w:t>
        </w:r>
        <w:r>
          <w:rPr>
            <w:rFonts w:ascii="Arial" w:eastAsia="Arial" w:hAnsi="Arial" w:cs="Arial"/>
            <w:color w:val="000080"/>
            <w:sz w:val="20"/>
            <w:szCs w:val="20"/>
            <w:u w:val="single"/>
          </w:rPr>
          <w:t>rtigos 138 e 139</w:t>
        </w:r>
      </w:hyperlink>
      <w:r>
        <w:rPr>
          <w:rFonts w:ascii="Arial" w:eastAsia="Arial" w:hAnsi="Arial" w:cs="Arial"/>
          <w:color w:val="000000"/>
          <w:sz w:val="20"/>
          <w:szCs w:val="20"/>
        </w:rPr>
        <w:t xml:space="preserve"> da mesma Lei.</w:t>
      </w:r>
    </w:p>
    <w:p w14:paraId="71B6D943" w14:textId="77777777" w:rsidR="00447FAF" w:rsidRDefault="00865351">
      <w:pPr>
        <w:numPr>
          <w:ilvl w:val="3"/>
          <w:numId w:val="1"/>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A alteração social ou a modificação da finalidade ou da estrutura da empresa não ensejará a extinção se não restringir sua capacidade de concluir o contrato.</w:t>
      </w:r>
    </w:p>
    <w:p w14:paraId="0EB9CF83" w14:textId="77777777" w:rsidR="00447FAF" w:rsidRDefault="00865351">
      <w:pPr>
        <w:numPr>
          <w:ilvl w:val="3"/>
          <w:numId w:val="1"/>
        </w:numPr>
        <w:pBdr>
          <w:top w:val="nil"/>
          <w:left w:val="nil"/>
          <w:bottom w:val="nil"/>
          <w:right w:val="nil"/>
          <w:between w:val="nil"/>
        </w:pBdr>
        <w:spacing w:before="120" w:after="120" w:line="276" w:lineRule="auto"/>
        <w:ind w:hanging="647"/>
        <w:jc w:val="both"/>
      </w:pPr>
      <w:r>
        <w:rPr>
          <w:rFonts w:ascii="Arial" w:eastAsia="Arial" w:hAnsi="Arial" w:cs="Arial"/>
          <w:color w:val="000000"/>
          <w:sz w:val="20"/>
          <w:szCs w:val="20"/>
        </w:rPr>
        <w:t>Se a operação implicar mudança da pessoa jurídica contratada, dever</w:t>
      </w:r>
      <w:r>
        <w:rPr>
          <w:rFonts w:ascii="Arial" w:eastAsia="Arial" w:hAnsi="Arial" w:cs="Arial"/>
          <w:color w:val="000000"/>
          <w:sz w:val="20"/>
          <w:szCs w:val="20"/>
        </w:rPr>
        <w:t>á ser formalizado termo aditivo para alteração subjetiva.</w:t>
      </w:r>
    </w:p>
    <w:p w14:paraId="095A84EC"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termo de extinção, sempre que possível, será precedido:</w:t>
      </w:r>
    </w:p>
    <w:p w14:paraId="70AA0B47"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Balanço dos eventos contratuais já cumpridos ou parcialmente cumpridos;</w:t>
      </w:r>
    </w:p>
    <w:p w14:paraId="467F8FD0"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Relação dos pagamentos já efetuados e ainda devidos;</w:t>
      </w:r>
    </w:p>
    <w:p w14:paraId="26BD037E"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Indenizações e </w:t>
      </w:r>
      <w:r>
        <w:rPr>
          <w:rFonts w:ascii="Arial" w:eastAsia="Arial" w:hAnsi="Arial" w:cs="Arial"/>
          <w:color w:val="000000"/>
          <w:sz w:val="20"/>
          <w:szCs w:val="20"/>
        </w:rPr>
        <w:t>multas.</w:t>
      </w:r>
    </w:p>
    <w:p w14:paraId="3C3BC5F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 extinção do contrato não configura óbice para o reconhecimento do desequilíbrio econômico-financeiro, hipótese em que será concedida indenização por meio de termo indenizatório (</w:t>
      </w:r>
      <w:hyperlink r:id="rId52" w:anchor="art131">
        <w:r>
          <w:rPr>
            <w:rFonts w:ascii="Arial" w:eastAsia="Arial" w:hAnsi="Arial" w:cs="Arial"/>
            <w:color w:val="000080"/>
            <w:sz w:val="20"/>
            <w:szCs w:val="20"/>
            <w:u w:val="single"/>
          </w:rPr>
          <w:t xml:space="preserve">art. 131, </w:t>
        </w:r>
      </w:hyperlink>
      <w:hyperlink r:id="rId53" w:anchor="art131">
        <w:r>
          <w:rPr>
            <w:rFonts w:ascii="Arial" w:eastAsia="Arial" w:hAnsi="Arial" w:cs="Arial"/>
            <w:i/>
            <w:color w:val="000080"/>
            <w:sz w:val="20"/>
            <w:szCs w:val="20"/>
            <w:u w:val="single"/>
          </w:rPr>
          <w:t xml:space="preserve">caput, </w:t>
        </w:r>
      </w:hyperlink>
      <w:hyperlink r:id="rId54" w:anchor="art131">
        <w:r>
          <w:rPr>
            <w:rFonts w:ascii="Arial" w:eastAsia="Arial" w:hAnsi="Arial" w:cs="Arial"/>
            <w:color w:val="000080"/>
            <w:sz w:val="20"/>
            <w:szCs w:val="20"/>
            <w:u w:val="single"/>
          </w:rPr>
          <w:t>d</w:t>
        </w:r>
        <w:r>
          <w:rPr>
            <w:rFonts w:ascii="Arial" w:eastAsia="Arial" w:hAnsi="Arial" w:cs="Arial"/>
            <w:color w:val="000080"/>
            <w:sz w:val="20"/>
            <w:szCs w:val="20"/>
            <w:u w:val="single"/>
          </w:rPr>
          <w:t>a Lei n.º 14.133, de 2021).</w:t>
        </w:r>
      </w:hyperlink>
      <w:r>
        <w:rPr>
          <w:rFonts w:ascii="Arial" w:eastAsia="Arial" w:hAnsi="Arial" w:cs="Arial"/>
          <w:color w:val="000000"/>
          <w:sz w:val="20"/>
          <w:szCs w:val="20"/>
        </w:rPr>
        <w:t xml:space="preserve"> </w:t>
      </w:r>
    </w:p>
    <w:p w14:paraId="5C25D89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 não pagamento dos salários e das verbas trabalhistas, e o não recolhimento das contribuições sociais, previdenciárias e para com o FGTS poderá dar ensejo à extinção do contrato por ato unilateral e escrito do contratante e à </w:t>
      </w:r>
      <w:r>
        <w:rPr>
          <w:rFonts w:ascii="Arial" w:eastAsia="Arial" w:hAnsi="Arial" w:cs="Arial"/>
          <w:color w:val="000000"/>
          <w:sz w:val="20"/>
          <w:szCs w:val="20"/>
        </w:rPr>
        <w:t xml:space="preserve">aplicação das penalidades cabíveis. </w:t>
      </w:r>
    </w:p>
    <w:p w14:paraId="32F1EB9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contratante poderá conceder prazo para que o contratado regularize suas obrigações trabalhistas ou suas condições de habilitação, sob pena de extinção contratual, quando não identificar má-fé ou a incapacidade de corr</w:t>
      </w:r>
      <w:r>
        <w:rPr>
          <w:rFonts w:ascii="Arial" w:eastAsia="Arial" w:hAnsi="Arial" w:cs="Arial"/>
          <w:color w:val="000000"/>
          <w:sz w:val="20"/>
          <w:szCs w:val="20"/>
        </w:rPr>
        <w:t>eção.</w:t>
      </w:r>
    </w:p>
    <w:p w14:paraId="05E90E6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Quando da extinção, o fiscal administrativo deverá verificar o pagamento pelo contratado das verbas rescisórias ou os documentos que comprovem que os empregados serão realocados em outra atividade de prestação de serviços, sem que ocorra a interrupçã</w:t>
      </w:r>
      <w:r>
        <w:rPr>
          <w:rFonts w:ascii="Arial" w:eastAsia="Arial" w:hAnsi="Arial" w:cs="Arial"/>
          <w:color w:val="000000"/>
          <w:sz w:val="20"/>
          <w:szCs w:val="20"/>
        </w:rPr>
        <w:t xml:space="preserve">o do contrato de trabalho. </w:t>
      </w:r>
    </w:p>
    <w:p w14:paraId="58DA3E83"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Até que o contratado comprove o disposto no item anterior, o contratante reterá:</w:t>
      </w:r>
    </w:p>
    <w:p w14:paraId="479D112A"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garantia contratual - prestada com cobertura para os casos de descumprimento das obrigações de natureza trabalhista e previdenciária, incluídas </w:t>
      </w:r>
      <w:r>
        <w:rPr>
          <w:rFonts w:ascii="Arial" w:eastAsia="Arial" w:hAnsi="Arial" w:cs="Arial"/>
          <w:color w:val="000000"/>
          <w:sz w:val="20"/>
          <w:szCs w:val="20"/>
        </w:rPr>
        <w:t>as verbas rescisórias -, a qual será executada para reembolso dos prejuízos sofridos pela Administração, nos termos da legislação que rege a matéria (art. 121, § 3º, I, e art. 139, III, b, da Lei n.º 14.133/2021); e </w:t>
      </w:r>
    </w:p>
    <w:p w14:paraId="6FA84F79"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lastRenderedPageBreak/>
        <w:t>os</w:t>
      </w:r>
      <w:proofErr w:type="gramEnd"/>
      <w:r>
        <w:rPr>
          <w:rFonts w:ascii="Arial" w:eastAsia="Arial" w:hAnsi="Arial" w:cs="Arial"/>
          <w:color w:val="000000"/>
          <w:sz w:val="20"/>
          <w:szCs w:val="20"/>
        </w:rPr>
        <w:t xml:space="preserve"> valores das Notas fiscais ou Faturas</w:t>
      </w:r>
      <w:r>
        <w:rPr>
          <w:rFonts w:ascii="Arial" w:eastAsia="Arial" w:hAnsi="Arial" w:cs="Arial"/>
          <w:color w:val="000000"/>
          <w:sz w:val="20"/>
          <w:szCs w:val="20"/>
        </w:rPr>
        <w:t xml:space="preserve"> correspondentes em valor proporcional ao inadimplemento, até que a situação seja regularizada.</w:t>
      </w:r>
    </w:p>
    <w:p w14:paraId="26FDBF48"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Na hipótese do subitem anterior, não havendo quitação das obrigações por parte do contratado no prazo de 15 (quinze) dias, o contratante poderá efetuar o pagame</w:t>
      </w:r>
      <w:r>
        <w:rPr>
          <w:rFonts w:ascii="Arial" w:eastAsia="Arial" w:hAnsi="Arial" w:cs="Arial"/>
          <w:color w:val="000000"/>
          <w:sz w:val="20"/>
          <w:szCs w:val="20"/>
        </w:rPr>
        <w:t>nto das obrigações diretamente aos empregados que tenham participado da execução dos serviços objeto do contrato, deduzindo o respectivo valor do pagamento devido ao contratado (art. 121, §3º, inciso II, da Lei nº 14.133/2021).</w:t>
      </w:r>
    </w:p>
    <w:p w14:paraId="6F9FFD6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contratante poderá ainda:</w:t>
      </w:r>
    </w:p>
    <w:p w14:paraId="67C946DC"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nos</w:t>
      </w:r>
      <w:proofErr w:type="gramEnd"/>
      <w:r>
        <w:rPr>
          <w:rFonts w:ascii="Arial" w:eastAsia="Arial" w:hAnsi="Arial" w:cs="Arial"/>
          <w:color w:val="000000"/>
          <w:sz w:val="20"/>
          <w:szCs w:val="20"/>
        </w:rPr>
        <w:t xml:space="preserve"> casos de obrigação de pagamento de multa pelo contratado, reter a garantia prestada a ser executada (art. 139, III, “c”, da Lei n.º 14.133/2021), conforme legislação que rege a matéria; e</w:t>
      </w:r>
    </w:p>
    <w:p w14:paraId="2FB05C3C" w14:textId="77777777" w:rsidR="00447FAF" w:rsidRDefault="00865351">
      <w:pPr>
        <w:numPr>
          <w:ilvl w:val="2"/>
          <w:numId w:val="1"/>
        </w:numPr>
        <w:pBdr>
          <w:top w:val="nil"/>
          <w:left w:val="nil"/>
          <w:bottom w:val="nil"/>
          <w:right w:val="nil"/>
          <w:between w:val="nil"/>
        </w:pBdr>
        <w:spacing w:before="120" w:after="120" w:line="276" w:lineRule="auto"/>
        <w:jc w:val="both"/>
      </w:pPr>
      <w:proofErr w:type="gramStart"/>
      <w:r>
        <w:rPr>
          <w:rFonts w:ascii="Arial" w:eastAsia="Arial" w:hAnsi="Arial" w:cs="Arial"/>
          <w:color w:val="000000"/>
          <w:sz w:val="20"/>
          <w:szCs w:val="20"/>
        </w:rPr>
        <w:t>nos</w:t>
      </w:r>
      <w:proofErr w:type="gramEnd"/>
      <w:r>
        <w:rPr>
          <w:rFonts w:ascii="Arial" w:eastAsia="Arial" w:hAnsi="Arial" w:cs="Arial"/>
          <w:color w:val="000000"/>
          <w:sz w:val="20"/>
          <w:szCs w:val="20"/>
        </w:rPr>
        <w:t xml:space="preserve"> casos em que houver necessidade de ressarcimento de prejuíz</w:t>
      </w:r>
      <w:r>
        <w:rPr>
          <w:rFonts w:ascii="Arial" w:eastAsia="Arial" w:hAnsi="Arial" w:cs="Arial"/>
          <w:color w:val="000000"/>
          <w:sz w:val="20"/>
          <w:szCs w:val="20"/>
        </w:rPr>
        <w:t>os causados à Administração, nos termos do inciso IV do art. 139 da Lei n.º 14.133, de 2021, reter os eventuais créditos existentes em favor do contratado decorrentes do contrato.</w:t>
      </w:r>
    </w:p>
    <w:p w14:paraId="1BCF3C5F"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contrato poderá ser extinto caso se constate que o contratado mantém víncu</w:t>
      </w:r>
      <w:r>
        <w:rPr>
          <w:rFonts w:ascii="Arial" w:eastAsia="Arial" w:hAnsi="Arial" w:cs="Arial"/>
          <w:color w:val="000000"/>
          <w:sz w:val="20"/>
          <w:szCs w:val="20"/>
        </w:rPr>
        <w:t>lo de natureza técnica, comercial, econômica, financeira, trabalhista ou civil com dirigente do órgão ou entidade contratante ou com agente público que tenha desempenhado função na licitação ou atue na fiscalização ou na gestão do contrato, ou que deles se</w:t>
      </w:r>
      <w:r>
        <w:rPr>
          <w:rFonts w:ascii="Arial" w:eastAsia="Arial" w:hAnsi="Arial" w:cs="Arial"/>
          <w:color w:val="000000"/>
          <w:sz w:val="20"/>
          <w:szCs w:val="20"/>
        </w:rPr>
        <w:t xml:space="preserve">ja cônjuge, companheiro ou parente em linha reta, colateral ou por afinidade, até o terceiro grau (art. 14, inciso IV, da Lei </w:t>
      </w:r>
      <w:proofErr w:type="gramStart"/>
      <w:r>
        <w:rPr>
          <w:rFonts w:ascii="Arial" w:eastAsia="Arial" w:hAnsi="Arial" w:cs="Arial"/>
          <w:color w:val="000000"/>
          <w:sz w:val="20"/>
          <w:szCs w:val="20"/>
        </w:rPr>
        <w:t>n.º</w:t>
      </w:r>
      <w:proofErr w:type="gramEnd"/>
      <w:r>
        <w:rPr>
          <w:rFonts w:ascii="Arial" w:eastAsia="Arial" w:hAnsi="Arial" w:cs="Arial"/>
          <w:color w:val="000000"/>
          <w:sz w:val="20"/>
          <w:szCs w:val="20"/>
        </w:rPr>
        <w:t xml:space="preserve"> 14.133, de 2021).</w:t>
      </w:r>
    </w:p>
    <w:p w14:paraId="784BC26E"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DÉCIMA QUARTA – ALTERAÇÕES</w:t>
      </w:r>
    </w:p>
    <w:p w14:paraId="0D6EDF7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Eventuais alterações contratuais reger-se-ão pela disciplina dos </w:t>
      </w:r>
      <w:hyperlink r:id="rId55" w:anchor="art12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124 e seguintes da Lei nº 14.133, de 2021</w:t>
        </w:r>
      </w:hyperlink>
      <w:r>
        <w:rPr>
          <w:rFonts w:ascii="Arial" w:eastAsia="Arial" w:hAnsi="Arial" w:cs="Arial"/>
          <w:color w:val="000000"/>
          <w:sz w:val="20"/>
          <w:szCs w:val="20"/>
        </w:rPr>
        <w:t>.</w:t>
      </w:r>
    </w:p>
    <w:p w14:paraId="717F821D"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O contratado é obrigado a aceitar, nas mesmas condições contratuais, os acréscimos ou supressões que se fiz</w:t>
      </w:r>
      <w:r>
        <w:rPr>
          <w:rFonts w:ascii="Arial" w:eastAsia="Arial" w:hAnsi="Arial" w:cs="Arial"/>
          <w:color w:val="000000"/>
          <w:sz w:val="20"/>
          <w:szCs w:val="20"/>
        </w:rPr>
        <w:t>erem necessários, até o limite de 25% (vinte e cinco por cento) do valor inicial atualizado do contrato.</w:t>
      </w:r>
    </w:p>
    <w:p w14:paraId="43AF80FB"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alterações contratuais deverão ser promovidas mediante celebração de termo aditivo, submetido à prévia aprovação da consultoria jurídica do contrata</w:t>
      </w:r>
      <w:r>
        <w:rPr>
          <w:rFonts w:ascii="Arial" w:eastAsia="Arial" w:hAnsi="Arial" w:cs="Arial"/>
          <w:color w:val="000000"/>
          <w:sz w:val="20"/>
          <w:szCs w:val="20"/>
        </w:rPr>
        <w:t>nte, salvo nos casos de justificada necessidade de antecipação de seus efeitos, hipótese em que a formalização do aditivo deverá ocorrer no prazo máximo de 1 (um) mês (art. 132 da Lei nº 14.133, de 2021).</w:t>
      </w:r>
    </w:p>
    <w:p w14:paraId="3EF3ED2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Registros que não caracterizam alteração do contrat</w:t>
      </w:r>
      <w:r>
        <w:rPr>
          <w:rFonts w:ascii="Arial" w:eastAsia="Arial" w:hAnsi="Arial" w:cs="Arial"/>
          <w:color w:val="000000"/>
          <w:sz w:val="20"/>
          <w:szCs w:val="20"/>
        </w:rPr>
        <w:t xml:space="preserve">o podem ser realizados por simples apostila, dispensada a celebração de termo aditivo, na forma do </w:t>
      </w:r>
      <w:hyperlink r:id="rId56" w:anchor="art136">
        <w:r>
          <w:rPr>
            <w:rFonts w:ascii="Arial" w:eastAsia="Arial" w:hAnsi="Arial" w:cs="Arial"/>
            <w:color w:val="000080"/>
            <w:sz w:val="20"/>
            <w:szCs w:val="20"/>
            <w:u w:val="single"/>
          </w:rPr>
          <w:t>art. 136 da Lei nº 14.133, de 2021</w:t>
        </w:r>
      </w:hyperlink>
      <w:r>
        <w:rPr>
          <w:rFonts w:ascii="Arial" w:eastAsia="Arial" w:hAnsi="Arial" w:cs="Arial"/>
          <w:color w:val="000000"/>
          <w:sz w:val="20"/>
          <w:szCs w:val="20"/>
        </w:rPr>
        <w:t>.</w:t>
      </w:r>
    </w:p>
    <w:p w14:paraId="2EDD03ED"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DÉCIMA QUI</w:t>
      </w:r>
      <w:r>
        <w:rPr>
          <w:rFonts w:ascii="Arial" w:eastAsia="Arial" w:hAnsi="Arial" w:cs="Arial"/>
          <w:b/>
          <w:color w:val="000000"/>
          <w:sz w:val="20"/>
          <w:szCs w:val="20"/>
        </w:rPr>
        <w:t>NTA – DOTAÇÃO ORÇAMENTÁRIA (</w:t>
      </w:r>
      <w:hyperlink r:id="rId57" w:anchor="art92">
        <w:r>
          <w:rPr>
            <w:rFonts w:ascii="Arial" w:eastAsia="Arial" w:hAnsi="Arial" w:cs="Arial"/>
            <w:b/>
            <w:color w:val="000000"/>
            <w:sz w:val="20"/>
            <w:szCs w:val="20"/>
          </w:rPr>
          <w:t>art. 92, VIII</w:t>
        </w:r>
      </w:hyperlink>
      <w:r>
        <w:rPr>
          <w:rFonts w:ascii="Arial" w:eastAsia="Arial" w:hAnsi="Arial" w:cs="Arial"/>
          <w:b/>
          <w:color w:val="000000"/>
          <w:sz w:val="20"/>
          <w:szCs w:val="20"/>
        </w:rPr>
        <w:t>)</w:t>
      </w:r>
    </w:p>
    <w:p w14:paraId="6FEC5504"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As despesas decorrentes da presente contratação correrão à conta de recursos específicos consignados no Orçament</w:t>
      </w:r>
      <w:r>
        <w:rPr>
          <w:rFonts w:ascii="Arial" w:eastAsia="Arial" w:hAnsi="Arial" w:cs="Arial"/>
          <w:color w:val="000000"/>
          <w:sz w:val="20"/>
          <w:szCs w:val="20"/>
        </w:rPr>
        <w:t>o Geral da União deste exercício, na dotação abaixo discriminada:</w:t>
      </w:r>
    </w:p>
    <w:p w14:paraId="588663F3" w14:textId="77777777" w:rsidR="00447FAF" w:rsidRDefault="00865351">
      <w:pPr>
        <w:numPr>
          <w:ilvl w:val="2"/>
          <w:numId w:val="1"/>
        </w:numPr>
        <w:spacing w:after="120" w:line="276" w:lineRule="auto"/>
        <w:jc w:val="both"/>
        <w:rPr>
          <w:rFonts w:cs="Ecofont_Spranq_eco_Sans"/>
        </w:rPr>
      </w:pPr>
      <w:r>
        <w:rPr>
          <w:rFonts w:ascii="Arial" w:eastAsia="Arial" w:hAnsi="Arial" w:cs="Arial"/>
          <w:sz w:val="20"/>
          <w:szCs w:val="20"/>
        </w:rPr>
        <w:t>Gestão/Unidade: 26447/158717;</w:t>
      </w:r>
    </w:p>
    <w:p w14:paraId="36B557E4" w14:textId="77777777" w:rsidR="00447FAF" w:rsidRDefault="00865351">
      <w:pPr>
        <w:numPr>
          <w:ilvl w:val="2"/>
          <w:numId w:val="1"/>
        </w:numPr>
        <w:spacing w:after="120" w:line="276" w:lineRule="auto"/>
        <w:jc w:val="both"/>
        <w:rPr>
          <w:rFonts w:cs="Ecofont_Spranq_eco_Sans"/>
        </w:rPr>
      </w:pPr>
      <w:r>
        <w:rPr>
          <w:rFonts w:ascii="Arial" w:eastAsia="Arial" w:hAnsi="Arial" w:cs="Arial"/>
          <w:sz w:val="20"/>
          <w:szCs w:val="20"/>
        </w:rPr>
        <w:t>Fonte de Recursos: 1000000000;</w:t>
      </w:r>
    </w:p>
    <w:p w14:paraId="65F98DE8" w14:textId="77777777" w:rsidR="00447FAF" w:rsidRDefault="00865351">
      <w:pPr>
        <w:numPr>
          <w:ilvl w:val="2"/>
          <w:numId w:val="1"/>
        </w:numPr>
        <w:spacing w:after="120" w:line="276" w:lineRule="auto"/>
        <w:jc w:val="both"/>
        <w:rPr>
          <w:rFonts w:cs="Ecofont_Spranq_eco_Sans"/>
        </w:rPr>
      </w:pPr>
      <w:r>
        <w:rPr>
          <w:rFonts w:ascii="Arial" w:eastAsia="Arial" w:hAnsi="Arial" w:cs="Arial"/>
          <w:sz w:val="20"/>
          <w:szCs w:val="20"/>
        </w:rPr>
        <w:t>Programa de Trabalho: 231939;</w:t>
      </w:r>
    </w:p>
    <w:p w14:paraId="31C5F372" w14:textId="77777777" w:rsidR="00447FAF" w:rsidRDefault="00865351">
      <w:pPr>
        <w:numPr>
          <w:ilvl w:val="2"/>
          <w:numId w:val="1"/>
        </w:numPr>
        <w:spacing w:after="120" w:line="276" w:lineRule="auto"/>
        <w:jc w:val="both"/>
        <w:rPr>
          <w:rFonts w:cs="Ecofont_Spranq_eco_Sans"/>
        </w:rPr>
      </w:pPr>
      <w:r>
        <w:rPr>
          <w:rFonts w:ascii="Arial" w:eastAsia="Arial" w:hAnsi="Arial" w:cs="Arial"/>
          <w:sz w:val="20"/>
          <w:szCs w:val="20"/>
        </w:rPr>
        <w:t>Elemento de Despesa: 339039;</w:t>
      </w:r>
    </w:p>
    <w:p w14:paraId="1219210D" w14:textId="77777777" w:rsidR="00447FAF" w:rsidRDefault="00865351">
      <w:pPr>
        <w:numPr>
          <w:ilvl w:val="2"/>
          <w:numId w:val="1"/>
        </w:numPr>
        <w:spacing w:after="120" w:line="276" w:lineRule="auto"/>
        <w:jc w:val="both"/>
        <w:rPr>
          <w:rFonts w:cs="Ecofont_Spranq_eco_Sans"/>
        </w:rPr>
      </w:pPr>
      <w:r>
        <w:rPr>
          <w:rFonts w:ascii="Arial" w:eastAsia="Arial" w:hAnsi="Arial" w:cs="Arial"/>
          <w:sz w:val="20"/>
          <w:szCs w:val="20"/>
        </w:rPr>
        <w:t>Plano Interno: M8282G01CAN;</w:t>
      </w:r>
    </w:p>
    <w:p w14:paraId="6915B1E2" w14:textId="77777777" w:rsidR="00447FAF" w:rsidRDefault="00865351">
      <w:pPr>
        <w:numPr>
          <w:ilvl w:val="2"/>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lastRenderedPageBreak/>
        <w:t>Nota de Empenho:</w:t>
      </w:r>
    </w:p>
    <w:p w14:paraId="005613DB" w14:textId="77777777" w:rsidR="00447FAF" w:rsidRDefault="00865351">
      <w:pPr>
        <w:numPr>
          <w:ilvl w:val="1"/>
          <w:numId w:val="1"/>
        </w:numPr>
        <w:pBdr>
          <w:top w:val="nil"/>
          <w:left w:val="nil"/>
          <w:bottom w:val="nil"/>
          <w:right w:val="nil"/>
          <w:between w:val="nil"/>
        </w:pBdr>
        <w:spacing w:before="120" w:after="120" w:line="276" w:lineRule="auto"/>
        <w:jc w:val="both"/>
        <w:rPr>
          <w:rFonts w:ascii="Arial" w:eastAsia="Arial" w:hAnsi="Arial" w:cs="Arial"/>
          <w:sz w:val="20"/>
          <w:szCs w:val="20"/>
        </w:rPr>
      </w:pPr>
      <w:r>
        <w:rPr>
          <w:rFonts w:ascii="Arial" w:eastAsia="Arial" w:hAnsi="Arial" w:cs="Arial"/>
          <w:color w:val="000000"/>
          <w:sz w:val="20"/>
          <w:szCs w:val="20"/>
        </w:rPr>
        <w:t xml:space="preserve">A dotação relativa aos </w:t>
      </w:r>
      <w:r>
        <w:rPr>
          <w:rFonts w:ascii="Arial" w:eastAsia="Arial" w:hAnsi="Arial" w:cs="Arial"/>
          <w:color w:val="000000"/>
          <w:sz w:val="20"/>
          <w:szCs w:val="20"/>
        </w:rPr>
        <w:t xml:space="preserve">exercícios financeiros subsequentes será indicada após aprovação da Lei Orçamentária respectiva e liberação dos créditos correspondentes, mediante </w:t>
      </w:r>
      <w:proofErr w:type="spellStart"/>
      <w:r>
        <w:rPr>
          <w:rFonts w:ascii="Arial" w:eastAsia="Arial" w:hAnsi="Arial" w:cs="Arial"/>
          <w:color w:val="000000"/>
          <w:sz w:val="20"/>
          <w:szCs w:val="20"/>
        </w:rPr>
        <w:t>apostilamento</w:t>
      </w:r>
      <w:proofErr w:type="spellEnd"/>
      <w:r>
        <w:rPr>
          <w:rFonts w:ascii="Arial" w:eastAsia="Arial" w:hAnsi="Arial" w:cs="Arial"/>
          <w:color w:val="000000"/>
          <w:sz w:val="20"/>
          <w:szCs w:val="20"/>
        </w:rPr>
        <w:t>.</w:t>
      </w:r>
    </w:p>
    <w:p w14:paraId="0144697E"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DÉCIMA SEXTA – DOS CASOS OMISSOS (</w:t>
      </w:r>
      <w:hyperlink r:id="rId58" w:anchor="art92">
        <w:r>
          <w:rPr>
            <w:rFonts w:ascii="Arial" w:eastAsia="Arial" w:hAnsi="Arial" w:cs="Arial"/>
            <w:b/>
            <w:color w:val="000080"/>
            <w:sz w:val="20"/>
            <w:szCs w:val="20"/>
            <w:u w:val="single"/>
          </w:rPr>
          <w:t>art. 92, III</w:t>
        </w:r>
      </w:hyperlink>
      <w:r>
        <w:rPr>
          <w:rFonts w:ascii="Arial" w:eastAsia="Arial" w:hAnsi="Arial" w:cs="Arial"/>
          <w:b/>
          <w:color w:val="000000"/>
          <w:sz w:val="20"/>
          <w:szCs w:val="20"/>
        </w:rPr>
        <w:t>)</w:t>
      </w:r>
    </w:p>
    <w:p w14:paraId="388FAB57"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Os casos omissos serão decididos pelo contratante, segundo as disposições contidas na </w:t>
      </w:r>
      <w:hyperlink r:id="rId59">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e demais normas federais aplicáveis e, subsidiariamente, segundo as disposições contidas na </w:t>
      </w:r>
      <w:hyperlink r:id="rId60">
        <w:r>
          <w:rPr>
            <w:rFonts w:ascii="Arial" w:eastAsia="Arial" w:hAnsi="Arial" w:cs="Arial"/>
            <w:color w:val="000080"/>
            <w:sz w:val="20"/>
            <w:szCs w:val="20"/>
            <w:u w:val="single"/>
          </w:rPr>
          <w:t>Lei nº 8.078, de 1990 – Có</w:t>
        </w:r>
        <w:r>
          <w:rPr>
            <w:rFonts w:ascii="Arial" w:eastAsia="Arial" w:hAnsi="Arial" w:cs="Arial"/>
            <w:color w:val="000080"/>
            <w:sz w:val="20"/>
            <w:szCs w:val="20"/>
            <w:u w:val="single"/>
          </w:rPr>
          <w:t>digo de Defesa do Consumidor</w:t>
        </w:r>
      </w:hyperlink>
      <w:r>
        <w:rPr>
          <w:rFonts w:ascii="Arial" w:eastAsia="Arial" w:hAnsi="Arial" w:cs="Arial"/>
          <w:color w:val="000000"/>
          <w:sz w:val="20"/>
          <w:szCs w:val="20"/>
        </w:rPr>
        <w:t xml:space="preserve"> – e normas e princípios gerais dos contratos.</w:t>
      </w:r>
    </w:p>
    <w:p w14:paraId="7AAD0307"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DÉCIMA SÉTIMA – PUBLICAÇÃO</w:t>
      </w:r>
    </w:p>
    <w:p w14:paraId="5A5A2192"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61" w:anchor="art94">
        <w:r>
          <w:rPr>
            <w:rFonts w:ascii="Arial" w:eastAsia="Arial" w:hAnsi="Arial" w:cs="Arial"/>
            <w:color w:val="000080"/>
            <w:sz w:val="20"/>
            <w:szCs w:val="20"/>
            <w:u w:val="single"/>
          </w:rPr>
          <w:t>art. 94 da Lei 14.133, de 2021</w:t>
        </w:r>
      </w:hyperlink>
      <w:r>
        <w:rPr>
          <w:rFonts w:ascii="Arial" w:eastAsia="Arial" w:hAnsi="Arial" w:cs="Arial"/>
          <w:color w:val="000000"/>
          <w:sz w:val="20"/>
          <w:szCs w:val="20"/>
        </w:rPr>
        <w:t xml:space="preserve">, bem como no respectivo sítio oficial na Internet, em atenção ao art. 91, </w:t>
      </w:r>
      <w:r>
        <w:rPr>
          <w:rFonts w:ascii="Arial" w:eastAsia="Arial" w:hAnsi="Arial" w:cs="Arial"/>
          <w:i/>
          <w:color w:val="000000"/>
          <w:sz w:val="20"/>
          <w:szCs w:val="20"/>
        </w:rPr>
        <w:t>caput</w:t>
      </w:r>
      <w:r>
        <w:rPr>
          <w:rFonts w:ascii="Arial" w:eastAsia="Arial" w:hAnsi="Arial" w:cs="Arial"/>
          <w:color w:val="000000"/>
          <w:sz w:val="20"/>
          <w:szCs w:val="20"/>
        </w:rPr>
        <w:t xml:space="preserve">, da Lei n.º 14.133, de 2021, e ao  </w:t>
      </w:r>
      <w:hyperlink r:id="rId62" w:anchor="art8%C2%A72">
        <w:r>
          <w:rPr>
            <w:rFonts w:ascii="Arial" w:eastAsia="Arial" w:hAnsi="Arial" w:cs="Arial"/>
            <w:color w:val="000080"/>
            <w:sz w:val="20"/>
            <w:szCs w:val="20"/>
            <w:u w:val="single"/>
          </w:rPr>
          <w:t>art. 8º, §2º, da Lei n. 12.527, de 2011</w:t>
        </w:r>
      </w:hyperlink>
      <w:r>
        <w:rPr>
          <w:rFonts w:ascii="Arial" w:eastAsia="Arial" w:hAnsi="Arial" w:cs="Arial"/>
          <w:color w:val="000000"/>
          <w:sz w:val="20"/>
          <w:szCs w:val="20"/>
        </w:rPr>
        <w:t xml:space="preserve">, c/c </w:t>
      </w:r>
      <w:hyperlink r:id="rId63" w:anchor="art7%C2%A73">
        <w:r>
          <w:rPr>
            <w:rFonts w:ascii="Arial" w:eastAsia="Arial" w:hAnsi="Arial" w:cs="Arial"/>
            <w:color w:val="000080"/>
            <w:sz w:val="20"/>
            <w:szCs w:val="20"/>
            <w:u w:val="single"/>
          </w:rPr>
          <w:t>art. 7º, §3º, in</w:t>
        </w:r>
        <w:r>
          <w:rPr>
            <w:rFonts w:ascii="Arial" w:eastAsia="Arial" w:hAnsi="Arial" w:cs="Arial"/>
            <w:color w:val="000080"/>
            <w:sz w:val="20"/>
            <w:szCs w:val="20"/>
            <w:u w:val="single"/>
          </w:rPr>
          <w:t>ciso V, do Decreto n. 7.724, de 2012.</w:t>
        </w:r>
      </w:hyperlink>
      <w:r>
        <w:rPr>
          <w:rFonts w:ascii="Arial" w:eastAsia="Arial" w:hAnsi="Arial" w:cs="Arial"/>
          <w:color w:val="000000"/>
          <w:sz w:val="20"/>
          <w:szCs w:val="20"/>
        </w:rPr>
        <w:t xml:space="preserve"> </w:t>
      </w:r>
    </w:p>
    <w:p w14:paraId="4EC6CBF5" w14:textId="77777777" w:rsidR="00447FAF" w:rsidRDefault="00865351">
      <w:pPr>
        <w:keepNext/>
        <w:keepLines/>
        <w:numPr>
          <w:ilvl w:val="0"/>
          <w:numId w:val="1"/>
        </w:numPr>
        <w:pBdr>
          <w:top w:val="nil"/>
          <w:left w:val="nil"/>
          <w:bottom w:val="nil"/>
          <w:right w:val="nil"/>
          <w:between w:val="nil"/>
        </w:pBdr>
        <w:tabs>
          <w:tab w:val="left" w:pos="567"/>
        </w:tabs>
        <w:spacing w:before="240"/>
        <w:jc w:val="both"/>
        <w:rPr>
          <w:rFonts w:ascii="Arial" w:eastAsia="Arial" w:hAnsi="Arial" w:cs="Arial"/>
          <w:b/>
          <w:sz w:val="20"/>
          <w:szCs w:val="20"/>
        </w:rPr>
      </w:pPr>
      <w:r>
        <w:rPr>
          <w:rFonts w:ascii="Arial" w:eastAsia="Arial" w:hAnsi="Arial" w:cs="Arial"/>
          <w:b/>
          <w:color w:val="000000"/>
          <w:sz w:val="20"/>
          <w:szCs w:val="20"/>
        </w:rPr>
        <w:t>CLÁUSULA DÉCIMA OITAVA– FORO (</w:t>
      </w:r>
      <w:hyperlink r:id="rId64" w:anchor="art92%C2%A71">
        <w:r>
          <w:rPr>
            <w:rFonts w:ascii="Arial" w:eastAsia="Arial" w:hAnsi="Arial" w:cs="Arial"/>
            <w:b/>
            <w:color w:val="000080"/>
            <w:sz w:val="20"/>
            <w:szCs w:val="20"/>
            <w:u w:val="single"/>
          </w:rPr>
          <w:t>art. 92, §1º</w:t>
        </w:r>
      </w:hyperlink>
      <w:r>
        <w:rPr>
          <w:rFonts w:ascii="Arial" w:eastAsia="Arial" w:hAnsi="Arial" w:cs="Arial"/>
          <w:b/>
          <w:color w:val="000000"/>
          <w:sz w:val="20"/>
          <w:szCs w:val="20"/>
        </w:rPr>
        <w:t>)</w:t>
      </w:r>
    </w:p>
    <w:p w14:paraId="3B8B61C0" w14:textId="77777777" w:rsidR="00447FAF" w:rsidRDefault="00865351">
      <w:pPr>
        <w:numPr>
          <w:ilvl w:val="1"/>
          <w:numId w:val="1"/>
        </w:numPr>
        <w:pBdr>
          <w:top w:val="nil"/>
          <w:left w:val="nil"/>
          <w:bottom w:val="nil"/>
          <w:right w:val="nil"/>
          <w:between w:val="nil"/>
        </w:pBdr>
        <w:spacing w:before="120" w:after="120" w:line="276" w:lineRule="auto"/>
        <w:jc w:val="both"/>
      </w:pPr>
      <w:r>
        <w:rPr>
          <w:rFonts w:ascii="Arial" w:eastAsia="Arial" w:hAnsi="Arial" w:cs="Arial"/>
          <w:sz w:val="20"/>
          <w:szCs w:val="20"/>
        </w:rPr>
        <w:t>Fica eleito o Foro da Justiça Federal em Barreiras/BA, Subseção J</w:t>
      </w:r>
      <w:r>
        <w:rPr>
          <w:rFonts w:ascii="Arial" w:eastAsia="Arial" w:hAnsi="Arial" w:cs="Arial"/>
          <w:sz w:val="20"/>
          <w:szCs w:val="20"/>
        </w:rPr>
        <w:t xml:space="preserve">udiciária de Barreiras – Seção Judiciária da Bahia </w:t>
      </w:r>
      <w:r>
        <w:rPr>
          <w:rFonts w:ascii="Arial" w:eastAsia="Arial" w:hAnsi="Arial" w:cs="Arial"/>
          <w:color w:val="000000"/>
          <w:sz w:val="20"/>
          <w:szCs w:val="20"/>
        </w:rPr>
        <w:t xml:space="preserve">para dirimir os litígios que decorrerem da execução deste Termo de Contrato que não puderem ser compostos pela conciliação, conforme </w:t>
      </w:r>
      <w:hyperlink r:id="rId65" w:anchor="art92%C2%A71">
        <w:r>
          <w:rPr>
            <w:rFonts w:ascii="Arial" w:eastAsia="Arial" w:hAnsi="Arial" w:cs="Arial"/>
            <w:color w:val="000080"/>
            <w:sz w:val="20"/>
            <w:szCs w:val="20"/>
            <w:u w:val="single"/>
          </w:rPr>
          <w:t>art. 92, §1º, da Lei nº 14.133/21.</w:t>
        </w:r>
      </w:hyperlink>
    </w:p>
    <w:p w14:paraId="6D31E43B" w14:textId="77777777" w:rsidR="00447FAF" w:rsidRDefault="00447FAF">
      <w:pPr>
        <w:pBdr>
          <w:top w:val="nil"/>
          <w:left w:val="nil"/>
          <w:bottom w:val="nil"/>
          <w:right w:val="nil"/>
          <w:between w:val="nil"/>
        </w:pBdr>
        <w:spacing w:before="120" w:after="120" w:line="276" w:lineRule="auto"/>
        <w:ind w:left="283"/>
        <w:jc w:val="both"/>
        <w:rPr>
          <w:rFonts w:ascii="Arial" w:eastAsia="Arial" w:hAnsi="Arial" w:cs="Arial"/>
          <w:i/>
          <w:color w:val="FF0000"/>
          <w:sz w:val="20"/>
          <w:szCs w:val="20"/>
        </w:rPr>
      </w:pPr>
    </w:p>
    <w:p w14:paraId="2E0D9156" w14:textId="77777777" w:rsidR="00447FAF" w:rsidRDefault="00865351">
      <w:pPr>
        <w:pBdr>
          <w:top w:val="nil"/>
          <w:left w:val="nil"/>
          <w:bottom w:val="nil"/>
          <w:right w:val="nil"/>
          <w:between w:val="nil"/>
        </w:pBdr>
        <w:spacing w:before="120" w:after="288" w:line="312" w:lineRule="auto"/>
        <w:jc w:val="both"/>
        <w:rPr>
          <w:rFonts w:ascii="Arial" w:eastAsia="Arial" w:hAnsi="Arial" w:cs="Arial"/>
          <w:sz w:val="20"/>
          <w:szCs w:val="20"/>
        </w:rPr>
      </w:pPr>
      <w:r>
        <w:rPr>
          <w:rFonts w:ascii="Arial" w:eastAsia="Arial" w:hAnsi="Arial" w:cs="Arial"/>
          <w:sz w:val="20"/>
          <w:szCs w:val="20"/>
        </w:rPr>
        <w:t>[Local], [dia] de [mês] de [ano].</w:t>
      </w:r>
    </w:p>
    <w:p w14:paraId="598D6B47" w14:textId="77777777" w:rsidR="00447FAF" w:rsidRDefault="00865351">
      <w:pPr>
        <w:spacing w:before="120" w:after="288" w:line="312" w:lineRule="auto"/>
        <w:ind w:firstLine="709"/>
        <w:jc w:val="center"/>
        <w:rPr>
          <w:rFonts w:ascii="Arial" w:eastAsia="Arial" w:hAnsi="Arial" w:cs="Arial"/>
          <w:sz w:val="20"/>
          <w:szCs w:val="20"/>
        </w:rPr>
      </w:pPr>
      <w:r>
        <w:rPr>
          <w:rFonts w:ascii="Arial" w:eastAsia="Arial" w:hAnsi="Arial" w:cs="Arial"/>
          <w:sz w:val="20"/>
          <w:szCs w:val="20"/>
        </w:rPr>
        <w:t>_________________________</w:t>
      </w:r>
    </w:p>
    <w:p w14:paraId="2159773C" w14:textId="77777777" w:rsidR="00447FAF" w:rsidRDefault="00865351">
      <w:pPr>
        <w:spacing w:before="120" w:after="288" w:line="312" w:lineRule="auto"/>
        <w:ind w:firstLine="709"/>
        <w:jc w:val="center"/>
        <w:rPr>
          <w:rFonts w:ascii="Arial" w:eastAsia="Arial" w:hAnsi="Arial" w:cs="Arial"/>
          <w:sz w:val="20"/>
          <w:szCs w:val="20"/>
        </w:rPr>
      </w:pPr>
      <w:r>
        <w:rPr>
          <w:rFonts w:ascii="Arial" w:eastAsia="Arial" w:hAnsi="Arial" w:cs="Arial"/>
          <w:sz w:val="20"/>
          <w:szCs w:val="20"/>
        </w:rPr>
        <w:t>Representante legal do CONTRATANTE</w:t>
      </w:r>
    </w:p>
    <w:p w14:paraId="003FF69E" w14:textId="77777777" w:rsidR="00447FAF" w:rsidRDefault="00865351">
      <w:pPr>
        <w:spacing w:before="120" w:after="288" w:line="312" w:lineRule="auto"/>
        <w:ind w:firstLine="709"/>
        <w:jc w:val="center"/>
        <w:rPr>
          <w:rFonts w:ascii="Arial" w:eastAsia="Arial" w:hAnsi="Arial" w:cs="Arial"/>
          <w:sz w:val="20"/>
          <w:szCs w:val="20"/>
        </w:rPr>
      </w:pPr>
      <w:r>
        <w:rPr>
          <w:rFonts w:ascii="Arial" w:eastAsia="Arial" w:hAnsi="Arial" w:cs="Arial"/>
          <w:sz w:val="20"/>
          <w:szCs w:val="20"/>
        </w:rPr>
        <w:t>_________________________</w:t>
      </w:r>
    </w:p>
    <w:p w14:paraId="30E4B941" w14:textId="77777777" w:rsidR="00447FAF" w:rsidRDefault="00865351">
      <w:pPr>
        <w:spacing w:before="120" w:after="288" w:line="312" w:lineRule="auto"/>
        <w:ind w:firstLine="709"/>
        <w:jc w:val="center"/>
        <w:rPr>
          <w:rFonts w:ascii="Arial" w:eastAsia="Arial" w:hAnsi="Arial" w:cs="Arial"/>
          <w:sz w:val="20"/>
          <w:szCs w:val="20"/>
        </w:rPr>
      </w:pPr>
      <w:r>
        <w:rPr>
          <w:rFonts w:ascii="Arial" w:eastAsia="Arial" w:hAnsi="Arial" w:cs="Arial"/>
          <w:sz w:val="20"/>
          <w:szCs w:val="20"/>
        </w:rPr>
        <w:t>Representante legal do CONTRATADO</w:t>
      </w:r>
    </w:p>
    <w:p w14:paraId="51A3D2BF" w14:textId="77777777" w:rsidR="00447FAF" w:rsidRDefault="00865351">
      <w:pPr>
        <w:spacing w:before="120" w:after="288" w:line="312" w:lineRule="auto"/>
        <w:ind w:firstLine="709"/>
        <w:jc w:val="both"/>
        <w:rPr>
          <w:rFonts w:ascii="Arial" w:eastAsia="Arial" w:hAnsi="Arial" w:cs="Arial"/>
          <w:sz w:val="20"/>
          <w:szCs w:val="20"/>
        </w:rPr>
      </w:pPr>
      <w:r>
        <w:rPr>
          <w:rFonts w:ascii="Arial" w:eastAsia="Arial" w:hAnsi="Arial" w:cs="Arial"/>
          <w:sz w:val="20"/>
          <w:szCs w:val="20"/>
        </w:rPr>
        <w:t>TESTEMUNHAS:</w:t>
      </w:r>
    </w:p>
    <w:p w14:paraId="14D8D357" w14:textId="77777777" w:rsidR="00447FAF" w:rsidRDefault="00865351">
      <w:pPr>
        <w:spacing w:before="120" w:after="288" w:line="312" w:lineRule="auto"/>
        <w:ind w:firstLine="709"/>
        <w:rPr>
          <w:rFonts w:ascii="Arial" w:eastAsia="Arial" w:hAnsi="Arial" w:cs="Arial"/>
          <w:sz w:val="20"/>
          <w:szCs w:val="20"/>
        </w:rPr>
      </w:pPr>
      <w:r>
        <w:rPr>
          <w:rFonts w:ascii="Arial" w:eastAsia="Arial" w:hAnsi="Arial" w:cs="Arial"/>
          <w:sz w:val="20"/>
          <w:szCs w:val="20"/>
        </w:rPr>
        <w:t>1-</w:t>
      </w:r>
    </w:p>
    <w:p w14:paraId="5D305DF0" w14:textId="77777777" w:rsidR="00447FAF" w:rsidRDefault="00865351">
      <w:pPr>
        <w:spacing w:before="120" w:after="288" w:line="312" w:lineRule="auto"/>
        <w:ind w:firstLine="709"/>
        <w:rPr>
          <w:rFonts w:ascii="Arial" w:eastAsia="Arial" w:hAnsi="Arial" w:cs="Arial"/>
          <w:b/>
          <w:sz w:val="20"/>
          <w:szCs w:val="20"/>
        </w:rPr>
      </w:pPr>
      <w:r>
        <w:rPr>
          <w:rFonts w:ascii="Arial" w:eastAsia="Arial" w:hAnsi="Arial" w:cs="Arial"/>
          <w:sz w:val="20"/>
          <w:szCs w:val="20"/>
        </w:rPr>
        <w:t xml:space="preserve">2- </w:t>
      </w:r>
      <w:r>
        <w:rPr>
          <w:rFonts w:ascii="Arial" w:eastAsia="Arial" w:hAnsi="Arial" w:cs="Arial"/>
          <w:sz w:val="20"/>
          <w:szCs w:val="20"/>
        </w:rPr>
        <w:tab/>
      </w:r>
    </w:p>
    <w:sectPr w:rsidR="00447FAF">
      <w:headerReference w:type="default" r:id="rId66"/>
      <w:footerReference w:type="default" r:id="rId67"/>
      <w:pgSz w:w="11906" w:h="16838"/>
      <w:pgMar w:top="1418" w:right="1134"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41F5A" w14:textId="77777777" w:rsidR="00865351" w:rsidRDefault="00865351">
      <w:r>
        <w:separator/>
      </w:r>
    </w:p>
  </w:endnote>
  <w:endnote w:type="continuationSeparator" w:id="0">
    <w:p w14:paraId="3FA510A4" w14:textId="77777777" w:rsidR="00865351" w:rsidRDefault="0086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0271" w14:textId="77777777" w:rsidR="00447FAF" w:rsidRDefault="00865351">
    <w:pPr>
      <w:pBdr>
        <w:top w:val="nil"/>
        <w:left w:val="nil"/>
        <w:bottom w:val="nil"/>
        <w:right w:val="nil"/>
        <w:between w:val="nil"/>
      </w:pBdr>
      <w:tabs>
        <w:tab w:val="center" w:pos="4252"/>
        <w:tab w:val="right" w:pos="8504"/>
      </w:tabs>
      <w:rPr>
        <w:rFonts w:ascii="Arial" w:eastAsia="Arial" w:hAnsi="Arial" w:cs="Arial"/>
        <w:color w:val="548DD4"/>
        <w:sz w:val="16"/>
        <w:szCs w:val="16"/>
      </w:rPr>
    </w:pPr>
    <w:r>
      <w:rPr>
        <w:rFonts w:ascii="Arial" w:eastAsia="Arial" w:hAnsi="Arial" w:cs="Arial"/>
        <w:color w:val="548DD4"/>
        <w:sz w:val="22"/>
        <w:szCs w:val="22"/>
      </w:rPr>
      <w:tab/>
    </w:r>
    <w:r>
      <w:rPr>
        <w:rFonts w:ascii="Arial" w:eastAsia="Arial" w:hAnsi="Arial" w:cs="Arial"/>
        <w:color w:val="548DD4"/>
        <w:sz w:val="22"/>
        <w:szCs w:val="22"/>
      </w:rPr>
      <w:tab/>
    </w:r>
  </w:p>
  <w:p w14:paraId="520E9F96" w14:textId="01A4E7BF" w:rsidR="00447FAF" w:rsidRDefault="00865351">
    <w:pPr>
      <w:pBdr>
        <w:top w:val="nil"/>
        <w:left w:val="nil"/>
        <w:bottom w:val="nil"/>
        <w:right w:val="nil"/>
        <w:between w:val="nil"/>
      </w:pBdr>
      <w:tabs>
        <w:tab w:val="center" w:pos="4252"/>
        <w:tab w:val="right" w:pos="8504"/>
      </w:tabs>
      <w:rPr>
        <w:rFonts w:ascii="Arial" w:eastAsia="Arial" w:hAnsi="Arial" w:cs="Arial"/>
        <w:color w:val="7F7F7F"/>
        <w:sz w:val="18"/>
        <w:szCs w:val="18"/>
      </w:rPr>
    </w:pPr>
    <w:r>
      <w:rPr>
        <w:rFonts w:ascii="Arial" w:eastAsia="Arial" w:hAnsi="Arial" w:cs="Arial"/>
        <w:color w:val="7F7F7F"/>
        <w:sz w:val="22"/>
        <w:szCs w:val="22"/>
      </w:rPr>
      <w:tab/>
    </w:r>
    <w:r>
      <w:rPr>
        <w:rFonts w:ascii="Arial" w:eastAsia="Arial" w:hAnsi="Arial" w:cs="Arial"/>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460CA6">
      <w:rPr>
        <w:rFonts w:ascii="Arial" w:eastAsia="Arial" w:hAnsi="Arial" w:cs="Arial"/>
        <w:noProof/>
        <w:color w:val="595959"/>
        <w:sz w:val="18"/>
        <w:szCs w:val="18"/>
      </w:rPr>
      <w:t>18</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460CA6">
      <w:rPr>
        <w:rFonts w:ascii="Arial" w:eastAsia="Arial" w:hAnsi="Arial" w:cs="Arial"/>
        <w:noProof/>
        <w:color w:val="595959"/>
        <w:sz w:val="18"/>
        <w:szCs w:val="18"/>
      </w:rPr>
      <w:t>18</w:t>
    </w:r>
    <w:r>
      <w:rPr>
        <w:rFonts w:ascii="Arial" w:eastAsia="Arial" w:hAnsi="Arial" w:cs="Arial"/>
        <w:color w:val="595959"/>
        <w:sz w:val="18"/>
        <w:szCs w:val="18"/>
      </w:rPr>
      <w:fldChar w:fldCharType="end"/>
    </w:r>
  </w:p>
  <w:p w14:paraId="160D24F9" w14:textId="77777777" w:rsidR="00447FAF" w:rsidRDefault="00865351">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 xml:space="preserve">Câmara Nacional </w:t>
    </w:r>
    <w:r>
      <w:rPr>
        <w:rFonts w:ascii="Arial" w:eastAsia="Arial" w:hAnsi="Arial" w:cs="Arial"/>
        <w:color w:val="000000"/>
        <w:sz w:val="14"/>
        <w:szCs w:val="14"/>
      </w:rPr>
      <w:t>de Modelos de Licitações e Contratos da Consultoria-Geral da União</w:t>
    </w:r>
  </w:p>
  <w:p w14:paraId="11501204" w14:textId="77777777" w:rsidR="00447FAF" w:rsidRDefault="00865351">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Atualização: maio/2023</w:t>
    </w:r>
  </w:p>
  <w:p w14:paraId="47CFE7B6" w14:textId="77777777" w:rsidR="00447FAF" w:rsidRDefault="00865351">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Termo de contrato modelo para Pregão Eletrônico - Serviços</w:t>
    </w:r>
    <w:r>
      <w:rPr>
        <w:rFonts w:cs="Ecofont_Spranq_eco_Sans"/>
        <w:color w:val="000000"/>
      </w:rPr>
      <w:t xml:space="preserve"> </w:t>
    </w:r>
    <w:r>
      <w:rPr>
        <w:rFonts w:ascii="Arial" w:eastAsia="Arial" w:hAnsi="Arial" w:cs="Arial"/>
        <w:color w:val="000000"/>
        <w:sz w:val="14"/>
        <w:szCs w:val="14"/>
      </w:rPr>
      <w:t>contínuos com regime de dedicação exclusiva de mão de obra - Lei nº 14.133, de 2021.</w:t>
    </w:r>
  </w:p>
  <w:p w14:paraId="0DF91D2B" w14:textId="77777777" w:rsidR="00447FAF" w:rsidRDefault="00865351">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Aprovado pela Secretar</w:t>
    </w:r>
    <w:r>
      <w:rPr>
        <w:rFonts w:ascii="Arial" w:eastAsia="Arial" w:hAnsi="Arial" w:cs="Arial"/>
        <w:color w:val="000000"/>
        <w:sz w:val="14"/>
        <w:szCs w:val="14"/>
      </w:rPr>
      <w:t>ia de Gestão e Inovação.</w:t>
    </w:r>
  </w:p>
  <w:p w14:paraId="28E0AB40" w14:textId="77777777" w:rsidR="00447FAF" w:rsidRDefault="00865351">
    <w:pPr>
      <w:pBdr>
        <w:top w:val="nil"/>
        <w:left w:val="nil"/>
        <w:bottom w:val="nil"/>
        <w:right w:val="nil"/>
        <w:between w:val="nil"/>
      </w:pBdr>
      <w:tabs>
        <w:tab w:val="center" w:pos="4252"/>
        <w:tab w:val="right" w:pos="8504"/>
      </w:tabs>
      <w:rPr>
        <w:rFonts w:ascii="Arial" w:eastAsia="Arial" w:hAnsi="Arial" w:cs="Arial"/>
        <w:color w:val="000000"/>
      </w:rPr>
    </w:pPr>
    <w:r>
      <w:rPr>
        <w:rFonts w:ascii="Arial" w:eastAsia="Arial" w:hAnsi="Arial" w:cs="Arial"/>
        <w:color w:val="000000"/>
        <w:sz w:val="14"/>
        <w:szCs w:val="14"/>
      </w:rPr>
      <w:t>Identidade visual pela Secretaria de Gestão e Inovação</w:t>
    </w:r>
  </w:p>
  <w:p w14:paraId="4E168BAB" w14:textId="77777777" w:rsidR="00447FAF" w:rsidRDefault="00447FAF">
    <w:pPr>
      <w:pBdr>
        <w:top w:val="nil"/>
        <w:left w:val="nil"/>
        <w:bottom w:val="nil"/>
        <w:right w:val="nil"/>
        <w:between w:val="nil"/>
      </w:pBdr>
      <w:tabs>
        <w:tab w:val="center" w:pos="4252"/>
        <w:tab w:val="right" w:pos="8504"/>
      </w:tabs>
      <w:rPr>
        <w:rFonts w:ascii="Arial" w:eastAsia="Arial" w:hAnsi="Arial" w:cs="Arial"/>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5DD9B" w14:textId="77777777" w:rsidR="00865351" w:rsidRDefault="00865351">
      <w:r>
        <w:separator/>
      </w:r>
    </w:p>
  </w:footnote>
  <w:footnote w:type="continuationSeparator" w:id="0">
    <w:p w14:paraId="67D2F566" w14:textId="77777777" w:rsidR="00865351" w:rsidRDefault="008653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B4467" w14:textId="77777777" w:rsidR="00447FAF" w:rsidRDefault="00447FAF">
    <w:pPr>
      <w:widowControl w:val="0"/>
      <w:pBdr>
        <w:top w:val="nil"/>
        <w:left w:val="nil"/>
        <w:bottom w:val="nil"/>
        <w:right w:val="nil"/>
        <w:between w:val="nil"/>
      </w:pBdr>
      <w:spacing w:line="276" w:lineRule="auto"/>
      <w:rPr>
        <w:rFonts w:ascii="Arial" w:eastAsia="Arial" w:hAnsi="Arial" w:cs="Arial"/>
        <w:b/>
        <w:i/>
        <w:color w:val="FF0000"/>
        <w:sz w:val="20"/>
        <w:szCs w:val="20"/>
      </w:rPr>
    </w:pPr>
  </w:p>
  <w:tbl>
    <w:tblPr>
      <w:tblStyle w:val="a2"/>
      <w:tblW w:w="15112" w:type="dxa"/>
      <w:tblInd w:w="3828" w:type="dxa"/>
      <w:tblLayout w:type="fixed"/>
      <w:tblLook w:val="0600" w:firstRow="0" w:lastRow="0" w:firstColumn="0" w:lastColumn="0" w:noHBand="1" w:noVBand="1"/>
    </w:tblPr>
    <w:tblGrid>
      <w:gridCol w:w="9072"/>
      <w:gridCol w:w="3020"/>
      <w:gridCol w:w="3020"/>
    </w:tblGrid>
    <w:tr w:rsidR="00447FAF" w14:paraId="5A242F25" w14:textId="77777777">
      <w:trPr>
        <w:trHeight w:val="300"/>
      </w:trPr>
      <w:tc>
        <w:tcPr>
          <w:tcW w:w="9072" w:type="dxa"/>
        </w:tcPr>
        <w:p w14:paraId="546C16F5" w14:textId="77777777" w:rsidR="00447FAF" w:rsidRDefault="00865351">
          <w:pPr>
            <w:pBdr>
              <w:top w:val="nil"/>
              <w:left w:val="nil"/>
              <w:bottom w:val="nil"/>
              <w:right w:val="nil"/>
              <w:between w:val="nil"/>
            </w:pBdr>
            <w:tabs>
              <w:tab w:val="center" w:pos="4252"/>
              <w:tab w:val="right" w:pos="8504"/>
            </w:tabs>
            <w:ind w:left="-115"/>
            <w:rPr>
              <w:rFonts w:ascii="Arial" w:eastAsia="Arial" w:hAnsi="Arial" w:cs="Arial"/>
              <w:color w:val="000000"/>
              <w:sz w:val="20"/>
              <w:szCs w:val="20"/>
            </w:rPr>
          </w:pPr>
          <w:r>
            <w:rPr>
              <w:rFonts w:ascii="Arial" w:eastAsia="Arial" w:hAnsi="Arial" w:cs="Arial"/>
              <w:color w:val="000000"/>
              <w:sz w:val="20"/>
              <w:szCs w:val="20"/>
            </w:rPr>
            <w:t>TERMO DE CONTRATO ADMINISTRATIVO Nº XXXX/XXXX</w:t>
          </w:r>
        </w:p>
        <w:p w14:paraId="51B9924A" w14:textId="77777777" w:rsidR="00447FAF" w:rsidRDefault="00447FAF">
          <w:pPr>
            <w:pBdr>
              <w:top w:val="nil"/>
              <w:left w:val="nil"/>
              <w:bottom w:val="nil"/>
              <w:right w:val="nil"/>
              <w:between w:val="nil"/>
            </w:pBdr>
            <w:tabs>
              <w:tab w:val="center" w:pos="4252"/>
              <w:tab w:val="right" w:pos="8504"/>
            </w:tabs>
            <w:ind w:left="-115"/>
            <w:rPr>
              <w:rFonts w:cs="Ecofont_Spranq_eco_Sans"/>
              <w:color w:val="000000"/>
            </w:rPr>
          </w:pPr>
        </w:p>
      </w:tc>
      <w:tc>
        <w:tcPr>
          <w:tcW w:w="3020" w:type="dxa"/>
        </w:tcPr>
        <w:p w14:paraId="572E0031" w14:textId="77777777" w:rsidR="00447FAF" w:rsidRDefault="00447FAF">
          <w:pPr>
            <w:pBdr>
              <w:top w:val="nil"/>
              <w:left w:val="nil"/>
              <w:bottom w:val="nil"/>
              <w:right w:val="nil"/>
              <w:between w:val="nil"/>
            </w:pBdr>
            <w:tabs>
              <w:tab w:val="center" w:pos="4252"/>
              <w:tab w:val="right" w:pos="8504"/>
            </w:tabs>
            <w:jc w:val="center"/>
            <w:rPr>
              <w:rFonts w:cs="Ecofont_Spranq_eco_Sans"/>
              <w:color w:val="000000"/>
            </w:rPr>
          </w:pPr>
        </w:p>
      </w:tc>
      <w:tc>
        <w:tcPr>
          <w:tcW w:w="3020" w:type="dxa"/>
        </w:tcPr>
        <w:p w14:paraId="1ACA3371" w14:textId="77777777" w:rsidR="00447FAF" w:rsidRDefault="00447FAF">
          <w:pPr>
            <w:pBdr>
              <w:top w:val="nil"/>
              <w:left w:val="nil"/>
              <w:bottom w:val="nil"/>
              <w:right w:val="nil"/>
              <w:between w:val="nil"/>
            </w:pBdr>
            <w:tabs>
              <w:tab w:val="center" w:pos="4252"/>
              <w:tab w:val="right" w:pos="8504"/>
            </w:tabs>
            <w:ind w:right="-115"/>
            <w:jc w:val="right"/>
            <w:rPr>
              <w:rFonts w:cs="Ecofont_Spranq_eco_Sans"/>
              <w:color w:val="000000"/>
            </w:rPr>
          </w:pPr>
        </w:p>
      </w:tc>
    </w:tr>
  </w:tbl>
  <w:p w14:paraId="39318804" w14:textId="77777777" w:rsidR="00447FAF" w:rsidRDefault="00447FAF">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711"/>
    <w:multiLevelType w:val="multilevel"/>
    <w:tmpl w:val="EA8EC896"/>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1412E4"/>
    <w:multiLevelType w:val="multilevel"/>
    <w:tmpl w:val="C62C12A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i w:val="0"/>
        <w:color w:val="000000"/>
      </w:rPr>
    </w:lvl>
    <w:lvl w:ilvl="8">
      <w:start w:val="1"/>
      <w:numFmt w:val="lowerRoman"/>
      <w:lvlText w:val="%9."/>
      <w:lvlJc w:val="left"/>
      <w:pPr>
        <w:ind w:left="3240" w:hanging="360"/>
      </w:pPr>
    </w:lvl>
  </w:abstractNum>
  <w:abstractNum w:abstractNumId="2" w15:restartNumberingAfterBreak="0">
    <w:nsid w:val="1F2F0AD3"/>
    <w:multiLevelType w:val="multilevel"/>
    <w:tmpl w:val="F312BE40"/>
    <w:lvl w:ilvl="0">
      <w:start w:val="1"/>
      <w:numFmt w:val="decimal"/>
      <w:pStyle w:val="NormalWe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C683E63"/>
    <w:multiLevelType w:val="multilevel"/>
    <w:tmpl w:val="34B0D24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4B42E3"/>
    <w:multiLevelType w:val="multilevel"/>
    <w:tmpl w:val="8E5C0108"/>
    <w:lvl w:ilvl="0">
      <w:start w:val="1"/>
      <w:numFmt w:val="decimal"/>
      <w:pStyle w:val="Nivel01"/>
      <w:lvlText w:val="%1."/>
      <w:lvlJc w:val="left"/>
      <w:pPr>
        <w:ind w:left="360" w:hanging="360"/>
      </w:pPr>
      <w:rPr>
        <w:b/>
        <w:color w:val="000000"/>
      </w:rPr>
    </w:lvl>
    <w:lvl w:ilvl="1">
      <w:start w:val="1"/>
      <w:numFmt w:val="decimal"/>
      <w:pStyle w:val="Nivel2"/>
      <w:lvlText w:val="%1.%2."/>
      <w:lvlJc w:val="left"/>
      <w:pPr>
        <w:ind w:left="283" w:firstLine="0"/>
      </w:pPr>
      <w:rPr>
        <w:b w:val="0"/>
        <w:i w:val="0"/>
        <w:strike w:val="0"/>
        <w:color w:val="000000"/>
        <w:sz w:val="20"/>
        <w:szCs w:val="20"/>
        <w:u w:val="none"/>
      </w:rPr>
    </w:lvl>
    <w:lvl w:ilvl="2">
      <w:start w:val="1"/>
      <w:numFmt w:val="decimal"/>
      <w:pStyle w:val="Nivel3"/>
      <w:lvlText w:val="%1.%2.%3."/>
      <w:lvlJc w:val="left"/>
      <w:pPr>
        <w:ind w:left="1700" w:firstLine="0"/>
      </w:pPr>
      <w:rPr>
        <w:rFonts w:ascii="Arial" w:eastAsia="Arial" w:hAnsi="Arial" w:cs="Arial"/>
        <w:b w:val="0"/>
        <w:i w:val="0"/>
        <w:strike w:val="0"/>
        <w:color w:val="000000"/>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172D4D"/>
    <w:multiLevelType w:val="multilevel"/>
    <w:tmpl w:val="200A68E2"/>
    <w:lvl w:ilvl="0">
      <w:start w:val="1"/>
      <w:numFmt w:val="lowerLetter"/>
      <w:pStyle w:val="Commarcadores5"/>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6" w15:restartNumberingAfterBreak="0">
    <w:nsid w:val="7A335616"/>
    <w:multiLevelType w:val="multilevel"/>
    <w:tmpl w:val="7FBA6104"/>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FAF"/>
    <w:rsid w:val="00227E1E"/>
    <w:rsid w:val="00447FAF"/>
    <w:rsid w:val="00460CA6"/>
    <w:rsid w:val="00512855"/>
    <w:rsid w:val="005B7823"/>
    <w:rsid w:val="00672A40"/>
    <w:rsid w:val="00737A6A"/>
    <w:rsid w:val="008653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FB5"/>
  <w15:docId w15:val="{DDA5A638-808A-4ADB-A1AA-EF45494D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cs="Tahoma"/>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customStyle="1" w:styleId="TableNormal0">
    <w:name w:val="Table Normal"/>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7"/>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2002/l10406compilada.htm" TargetMode="External"/><Relationship Id="rId21" Type="http://schemas.openxmlformats.org/officeDocument/2006/relationships/hyperlink" Target="https://www.planalto.gov.br/ccivil_03/_ato2015-2018/2018/lei/l1370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in.gov.br/en/web/dou/-/circular-susep-n-662-de-11-de-abril-de-2022-39277208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s://www.planalto.gov.br/ccivil_03/leis/2002/l10406compilada.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8078compilado.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EZa0JOF/G60XsbMLBgcnTgWLJQ==">CgMxLjAyCGguZ2pkZ3hzMgloLjMwajB6bGwyCWguMWZvYjl0ZTIJaC4yZXQ5MnAwMghoLnR5amN3dDIJaC4zZHk2dmttMgloLjF0M2g1c2YyCWguNGQzNG9nODgAciExb2s0dVQ2THZyZmotZ0lmSDN6bWdBRnRWQjJQTXN0b1o=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8966</Words>
  <Characters>48417</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Lima Gama</dc:creator>
  <cp:lastModifiedBy>Hugo Lima Gama</cp:lastModifiedBy>
  <cp:revision>5</cp:revision>
  <cp:lastPrinted>2024-11-04T14:02:00Z</cp:lastPrinted>
  <dcterms:created xsi:type="dcterms:W3CDTF">2023-09-18T15:12:00Z</dcterms:created>
  <dcterms:modified xsi:type="dcterms:W3CDTF">2024-11-04T14:03:00Z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